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23 июня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6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230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приеме в гражданство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hyperlink w:history="1" r:id="rIdgiz0pzha1vdf4oxng9m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14</w:t>
      </w:r>
      <w:r>
        <w:rPr>
          <w:rFonts w:ascii="Arial" w:cs="Arial" w:eastAsia="Arial" w:hAnsi="Arial"/>
          <w:sz w:val="24"/>
          <w:szCs w:val="24"/>
        </w:rPr>
        <w:t xml:space="preserve">, пунктами 1 и 2 части 1, частью 2 </w:t>
      </w:r>
      <w:r>
        <w:rPr>
          <w:rFonts w:ascii="Arial" w:cs="Arial" w:eastAsia="Arial" w:hAnsi="Arial"/>
          <w:sz w:val="24"/>
          <w:szCs w:val="24"/>
        </w:rPr>
        <w:t xml:space="preserve">статьи 28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гражданстве Кыргызской Республики», а также учитывая предложение Комиссии по вопросам гражданства при Президенте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лиц согласно прилагаемому списку.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https://president.kg/ru/news/21/40559 от 26 июня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5biuw5qsxeqyerwbns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dalil.kg/document/230047748</w:t>
      </w:r>
    </w:hyperlink>
  </w:p>
  <w:p>
    <w:pPr>
      <w:spacing w:after="0" w:before="40"/>
      <w:jc w:val="center"/>
    </w:pPr>
    <w:hyperlink w:history="1" r:id="rIduq4x7qdhi0j1hgqfjnqn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iz0pzha1vdf4oxng9mx0" Type="http://schemas.openxmlformats.org/officeDocument/2006/relationships/hyperlink" Target="https://dalil.kg/document/112213#st_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5biuw5qsxeqyerwbnsxs" Type="http://schemas.openxmlformats.org/officeDocument/2006/relationships/hyperlink" Target="https://dalil.kg/document/230047748" TargetMode="External"/><Relationship Id="rIduq4x7qdhi0j1hgqfjnqn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2026-09-25T22:51:07.311Z</dcterms:created>
  <dcterms:modified xsi:type="dcterms:W3CDTF">2026-09-25T22:51:07.311Z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