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636</w:t>
      </w:r>
      <w:r>
        <w:rPr>
          <w:rFonts w:ascii="Arial" w:cs="Arial" w:eastAsia="Arial" w:hAnsi="Arial"/>
          <w:sz w:val="24"/>
          <w:szCs w:val="24"/>
        </w:rPr>
        <w:t xml:space="preserve">-VII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внесении изменений в некоторые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законодательные акты Кыргызской Республики в сфере охраны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государственной границы и государственной охраны»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 втором чтении проект Закона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Кыргызской Республики в сфере охраны государственной границы и государственной охраны</w:t>
      </w:r>
      <w:r>
        <w:rPr>
          <w:rFonts w:ascii="Arial" w:cs="Arial" w:eastAsia="Arial" w:hAnsi="Arial"/>
          <w:sz w:val="24"/>
          <w:szCs w:val="24"/>
        </w:rPr>
        <w:t xml:space="preserve">», инициированный Председателем Кабинета Министров Кыргызской Республики (исх. № 23-7292 от 9 июня 2026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Комитету Жогорку Кенеша Кыргызской Республики по международным делам, обороне, безопасности и миграции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https://kenesh.kg/ru/law-activity/resolutions/8018 от 1 июля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Б.А. Ибрагимов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fuhurgkvtziru9rnj7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dalil.kg/document/230047924</w:t>
      </w:r>
    </w:hyperlink>
  </w:p>
  <w:p>
    <w:pPr>
      <w:spacing w:after="0" w:before="40"/>
      <w:jc w:val="center"/>
    </w:pPr>
    <w:hyperlink w:history="1" r:id="rId9bniheoyp9qved75fqi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fuhurgkvtziru9rnj7rx" Type="http://schemas.openxmlformats.org/officeDocument/2006/relationships/hyperlink" Target="https://dalil.kg/document/230047924" TargetMode="External"/><Relationship Id="rId9bniheoyp9qved75fqir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2026-09-25T22:15:27.772Z</dcterms:created>
  <dcterms:modified xsi:type="dcterms:W3CDTF">2026-09-25T22:15:27.772Z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