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219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по вопросам гражданства, в соответствии со статьями </w:t>
      </w:r>
      <w:hyperlink w:history="1" r:id="rIdqn0lzj6tnn1nm2wxxt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tzuv1t_h3lftok49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jgwbltn45hiwaae6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10 августа 2013 года № 174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omek4ugy8blqobkb_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рассмотрения вопросов гражданства Кыргызской Республики, утвержденном вышеназванным </w:t>
      </w:r>
      <w:hyperlink w:history="1" r:id="rIdqpqycujj6lpaimw7zo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слово «утраты» заменить словом «прекращения»;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сведений о нотариальной деятельности и обеспечения всех видов информационного взаимодействия (обмена).»;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дополнить абзацем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 документы по вопросам гражданства оформляются в электронном и бумажном виде посредством АИС сотрудником территориального подразделения/загранучреждения.»;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Заявление о приеме в гражданство Кыргызской Республики и/или прекращении</w:t>
      </w:r>
      <w:r>
        <w:rPr>
          <w:rFonts w:ascii="Arial" w:cs="Arial" w:eastAsia="Arial" w:hAnsi="Arial"/>
          <w:sz w:val="24"/>
          <w:szCs w:val="24"/>
        </w:rPr>
        <w:t xml:space="preserve">гражданства Кыргызской Республики, подаваемое иностранным гражданином или лицом без гражданства, подлежит заверению электронной подписью заявителя, проставляемой посредством графического планшета в целях его идентификации в АИС.»;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изложить в следующей редакции;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«12. </w:t>
      </w:r>
      <w:r>
        <w:rPr>
          <w:rFonts w:ascii="Arial" w:cs="Arial" w:eastAsia="Arial" w:hAnsi="Arial"/>
          <w:sz w:val="24"/>
          <w:szCs w:val="24"/>
        </w:rPr>
        <w:t xml:space="preserve">Подача заявления о приеме в гражданство Кыргызской Республики осуществляется при наличии регистрации по месту пребывания на территории Кыргызской Республики и одного из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вида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удостоверения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удостоверения беженца;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Мекен-карт.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 наличии регистрации по месту пребывания на территории Кыргызской Республики и вышеуказанных документов не применяются в отношении этнических кыргызов, переселяющихся на территорию Кыргызской Республики, а также лиц без гражданства, документированных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несовершеннолетних детей требование о наличии регистрации по месту пребывания на территории Кыргызской Республики применяется, при этом требование о наличии вышеуказанных документов, не применяется.»;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ребенок этнических кыргызов, оба родителя или единственный родитель которого является иностранным 
 гражданином,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 заявлению одного из родителей и при наличии письменного согласия другого родителя.»;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3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являющиеся гражданами приграничных с Кыргызской Республикой государств и приобретшие гражданство Кыргызской Республики, при повторном получении паспорта гражданина Кыргызской Республики по истечении одного года с момента первичного документирования обязаны представить официальный документ компетентного органа иностранного государства, подтверждающий выход из прежнего гражданства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дополнить подпунктом 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случае противоречия интересам национальной безопасности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7 пункта 36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 (либо выписка из записи акта 
 о рождении) детей либо приравненный к нему документ и нотариально заверенное согласие (при отсутствии данных в ЕИСН) второго родителя на выход из гражданства ребенка – в случае если гражданин Кыргызской Республики одновременно ходатайствует о выходе из гражданства Кыргызской Республики несовершеннолетних детей.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5, 6 пункта 37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письменное нотариально заверенное согласие детей </w:t>
      </w:r>
      <w:r>
        <w:rPr>
          <w:rFonts w:ascii="Arial" w:cs="Arial" w:eastAsia="Arial" w:hAnsi="Arial"/>
          <w:sz w:val="24"/>
          <w:szCs w:val="24"/>
        </w:rPr>
        <w:t xml:space="preserve">(при отсутствии данных в ЕИСН) </w:t>
      </w:r>
      <w:r>
        <w:rPr>
          <w:rFonts w:ascii="Arial" w:cs="Arial" w:eastAsia="Arial" w:hAnsi="Arial"/>
          <w:sz w:val="24"/>
          <w:szCs w:val="24"/>
        </w:rPr>
        <w:t xml:space="preserve">в возрасте от 14 до 18 лет на выход из гражданства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нотариальное согласие (при отсутствии данных в ЕИСН) родителей (единственного родителя) или законных представителей на выход из гражданства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лиц, родившихся в Киргизской ССР и документированных паспортом образца 1974 года на территории Киргизской ССР или Кыргызской Республики, постоянно проживающих с момента рождения на территории Кыргызской Республики и не подавших заявления о принадлежности к гражданству другого государства;»;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 3 изложить в следующей редакции: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«3) детей (до 18 лет):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в случаях, предусмотренных пунктами 77–82 настоящего Положения, – при возникновении спора или по обращению заявителя;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в случаях, предусмотренных пунктами 83–87 настоящего Положения;»; 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седьмой пункта 64 изложить в следующей редакции: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паспорта родителей или единственного родителя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 наличии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».;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71 изложить в следующей редакции: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паспорта родителей или единственного родителя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 наличии;»;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78 слова «имеет гражданство» заменить словами «являлся на момент рождения гражданином»;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Ребенок, родившийся на территории Кыргызской Республики, родители или единственный родитель которого является иностранным гражданином – этническим кыргызом, признается гражданином Кыргызской Республики независимо от гражданства и места постоянного проживания родителей.»;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«101. Гражданство Кыргызской Республики утрачивается в соответствии с настоящим Положением при поступлении в уполномоченный орган в сфере регистрации населения информации от компетентного органа иностранного государства о приобретении гражданства этого государства, при наличии нотариально удостоверенного заявления об утрате гражданства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Гражданство Кыргызской Республики утрачивается, если гражданин Кыргызской Республики, не являющийся гражданином Кыргызской Республики по рождению, приобретший гражданство Кыргызской Республики в результате приема в гражданство Кыргызской Республики, осуществляет деятельность, представляющую угрозу национальной безопасности Кыргызской Республики, или состоит на действительной военной службе, службе в правоохранительных органах либо в органах специальных служб иностранного государства.»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mhgpb7_fns96kvhb-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dalil.kg/document/230047938</w:t>
      </w:r>
    </w:hyperlink>
  </w:p>
  <w:p>
    <w:pPr>
      <w:spacing w:after="0" w:before="40"/>
      <w:jc w:val="center"/>
    </w:pPr>
    <w:hyperlink w:history="1" r:id="rIdi-i9vgphkmiyowlcsx3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0lzj6tnn1nm2wxxtnq5" Type="http://schemas.openxmlformats.org/officeDocument/2006/relationships/hyperlink" Target="https://dalil.kg/document/112213" TargetMode="External"/><Relationship Id="rIdxftzuv1t_h3lftok49byv" Type="http://schemas.openxmlformats.org/officeDocument/2006/relationships/hyperlink" Target="https://dalil.kg/document/112213" TargetMode="External"/><Relationship Id="rIdxfjgwbltn45hiwaae6sgk" Type="http://schemas.openxmlformats.org/officeDocument/2006/relationships/hyperlink" Target="https://dalil.kg/document/94402" TargetMode="External"/><Relationship Id="rId2omek4ugy8blqobkb_gut" Type="http://schemas.openxmlformats.org/officeDocument/2006/relationships/hyperlink" Target="https://dalil.kg/document/4798" TargetMode="External"/><Relationship Id="rIdqpqycujj6lpaimw7zot2a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mhgpb7_fns96kvhb-s-" Type="http://schemas.openxmlformats.org/officeDocument/2006/relationships/hyperlink" Target="https://dalil.kg/document/230047938" TargetMode="External"/><Relationship Id="rIdi-i9vgphkmiyowlcsx3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2026-09-24T03:05:55.148Z</dcterms:created>
  <dcterms:modified xsi:type="dcterms:W3CDTF">2026-09-24T03:05:55.148Z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