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распределения и использования средств, поступающих от оказания консульских услуг и регистрации мобильных устройств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использования средств, поступающих от оказания государственных услуг, в соответствии со статьями </w:t>
      </w:r>
      <w:hyperlink w:history="1" r:id="rIdg8tsjeskjroxj45zg4y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_htnp0crhejyzopo8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qlaehod5iufojxt-lsu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средствах, взимаемых за оказание консульских услуг» от 18 декабря 2012 года № 839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xsw1ihlhfdh_s6fat9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27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«27. Средства в размере 15</w:t>
      </w:r>
      <w:r>
        <w:rPr>
          <w:rFonts w:ascii="Arial" w:cs="Arial" w:eastAsia="Arial" w:hAnsi="Arial"/>
          <w:sz w:val="24"/>
          <w:szCs w:val="24"/>
        </w:rPr>
        <w:t xml:space="preserve">% от суммы, поступившей на специальный счет МИД за счет оказания платных услуг посредством использования Единой системы учета внешней миграции, направляются на специальный счет Государственного комитета национальной безопасности Кыргызской Республики в части возмещения материальных издержек, связанных с техническим обслуживанием, содержанием и модернизацией указанной информационной системы, укреплением материально-технической базы, а также на другие текущие расходы по усмотрению руководства государственного органа.».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paqejr6b5h_ob4xydg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идентификации мобильных устройств» от 8 августа 2025 года № 482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идентификации мобильных устройств,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2 пункта 50 изложить в следующей редакции: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40 процентов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специальный счет владельца ГСИ 
 на договорной основе. Средства, поступившие на указанный счет, расходуются по решению руководителя владельца ГСИ и могут направляться на специальные счета подведомственных учреждений 
 и организаций, а также использоваться для укрепления материально-технической базы и финансирования иных расходов владельца ГСИ.».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vp91w-vdcobhnm9tj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dalil.kg/document/230048028</w:t>
      </w:r>
    </w:hyperlink>
  </w:p>
  <w:p>
    <w:pPr>
      <w:spacing w:after="0" w:before="40"/>
      <w:jc w:val="center"/>
    </w:pPr>
    <w:hyperlink w:history="1" r:id="rId13bic_wjdrhvkbpjygj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tsjeskjroxj45zg4yev" Type="http://schemas.openxmlformats.org/officeDocument/2006/relationships/hyperlink" Target="https://dalil.kg/document/230048028#st_13" TargetMode="External"/><Relationship Id="rIdvt_htnp0crhejyzopo8vd" Type="http://schemas.openxmlformats.org/officeDocument/2006/relationships/hyperlink" Target="https://dalil.kg/document/230048028#st_17" TargetMode="External"/><Relationship Id="rIdqlaehod5iufojxt-lsu0-" Type="http://schemas.openxmlformats.org/officeDocument/2006/relationships/hyperlink" Target="https://dalil.kg/document/93225" TargetMode="External"/><Relationship Id="rId2xsw1ihlhfdh_s6fat9s2" Type="http://schemas.openxmlformats.org/officeDocument/2006/relationships/hyperlink" Target="https://dalil.kg/document/93901" TargetMode="External"/><Relationship Id="rIdpaqejr6b5h_ob4xydgrtw" Type="http://schemas.openxmlformats.org/officeDocument/2006/relationships/hyperlink" Target="https://dalil.kg/document/2300304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vp91w-vdcobhnm9tj2r" Type="http://schemas.openxmlformats.org/officeDocument/2006/relationships/hyperlink" Target="https://dalil.kg/document/230048028" TargetMode="External"/><Relationship Id="rId13bic_wjdrhvkbpjygj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2026-09-24T21:17:46.928Z</dcterms:created>
  <dcterms:modified xsi:type="dcterms:W3CDTF">2026-09-24T21:17:46.928Z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