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655-VIII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</w:t>
      </w:r>
    </w:p>
    <w:p>
      <w:pPr>
        <w:spacing w:after="240" w:before="200"/>
        <w:ind w:firstLine="6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6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(в Гражданский процессуальный кодекс Кыргызской Республики, Уголовно-процессуальный кодекс Кыргызской Республики,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лиц»)», </w:t>
      </w:r>
      <w:r>
        <w:rPr>
          <w:rFonts w:ascii="Arial" w:cs="Arial" w:eastAsia="Arial" w:hAnsi="Arial"/>
          <w:sz w:val="24"/>
          <w:szCs w:val="24"/>
        </w:rPr>
        <w:t xml:space="preserve">инициированный Председателем Кабинета Министров Кыргызской Республики (исх. № 23-1706 от 19 февраля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58dw_ss-av047v-xf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dalil.kg/document/230048102</w:t>
      </w:r>
    </w:hyperlink>
  </w:p>
  <w:p>
    <w:pPr>
      <w:spacing w:after="0" w:before="40"/>
      <w:jc w:val="center"/>
    </w:pPr>
    <w:hyperlink w:history="1" r:id="rIdx_pq9ydsfc_0pbybgv5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58dw_ss-av047v-xfng" Type="http://schemas.openxmlformats.org/officeDocument/2006/relationships/hyperlink" Target="https://dalil.kg/document/230048102" TargetMode="External"/><Relationship Id="rIdx_pq9ydsfc_0pbybgv5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2026-09-25T21:11:55.966Z</dcterms:created>
  <dcterms:modified xsi:type="dcterms:W3CDTF">2026-09-25T21:11:55.966Z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