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подтверждения соответствия продукции в форме принятия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правовых и организационных механизмов, направленных на предупреждение рисков непризнания документов об оценке соответствия, выданных на территории Кыргызской Республики, создания благоприятных условий для ведения предпринимательской деятельности,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zqbnhgd1w23hsjbvau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itidqh8iyqpbfn8j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g9a5rdsrnmr6pplhyq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обязательном подтверждении соответствия продукции в форме принятия декларации о соответствии» от 28 января 2019 года № 20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Уполномочить аккредитованные органы по сертификации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 исключением органов по сертификации продукции</w:t>
      </w:r>
      <w:r>
        <w:rPr>
          <w:rFonts w:ascii="Arial" w:cs="Arial" w:eastAsia="Arial" w:hAnsi="Arial"/>
          <w:sz w:val="24"/>
          <w:szCs w:val="24"/>
        </w:rPr>
        <w:t xml:space="preserve">, указанных в пунктах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 включенные в Единый реестр органов по оценке соответствия Евразийского экономического союза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уполномоченные аккредитованные органы по сертификации), на проведение работ по регистрации деклараций о соответствии требованиям следующих технических регламентов Евразийского экономического союза (Таможенного союза): «О безопасности упаковки» ТР ТС 005/2011, «О безопасности пиротехнических изделий» ТР ТС 006/2011, «О</w:t>
      </w:r>
      <w:r>
        <w:rPr>
          <w:rFonts w:ascii="Arial" w:cs="Arial" w:eastAsia="Arial" w:hAnsi="Arial"/>
          <w:sz w:val="24"/>
          <w:szCs w:val="24"/>
        </w:rPr>
        <w:t xml:space="preserve">безопасности парфюмерно-косметической продукции» ТР ТС 009/2011, «О требованиях к автомобильному и авиационному бензину, дизельному и судовому топливу, топливу для реактивных двигателей и мазуту» ТР ТС 013/2011, «О безопасности зерна» ТР ТС 015/2011, «О безопасности продукции легкой промышленности» ТР ТС 017/2011, «О безопасности пищевой продукции» ТР ТС 021/2011, «Технический регламент на соковую продукцию из фруктов и овощей» ТР ТС 023/2011, «Технический регламент на масложировую продукцию» ТР ТС 024/2011, «Требования к безопасности пищевых добавок, ароматизаторов и технологических вспомогательных средств» ТР ТС 029/2012, «О безопасности мебельной продукции»ТР ТС 025/2012, «О</w:t>
      </w:r>
      <w:r>
        <w:rPr>
          <w:rFonts w:ascii="Arial" w:cs="Arial" w:eastAsia="Arial" w:hAnsi="Arial"/>
          <w:sz w:val="24"/>
          <w:szCs w:val="24"/>
        </w:rPr>
        <w:t xml:space="preserve">требованиях к смазочным материалам, маслам и специальным жидкостям» ТР ТС 030/2012, «О безопасности молока и молочной продукции» ТР ТС 033/2013, «О безопасности мяса и мясной продукции» ТР ТС 034/2013, «Технический регламент на табачную продукцию» ТР ТС 035/2014, «О безопасности рыбы и рыбной продукции» ТР ЕАЭС 040/2016, «О безопасности упакованной питьевой воды, включая природную минеральную воду» ТР ЕАЭС 044/2017, «О безопасности мяса птицы и продукции ее переработки» ТР ЕАЭС 051/2021 до прохождения процедуры аккредитации в соответствии с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работ по регистрации деклараций о соответствии требованиям технических регламентов Евразийского экономического союза (Таможенного союза) единой формы, указанных в абзаце первом настоящего пункта, уполномоченные аккредитованные органы по сертификации должны быть обеспечены экспертами по сертификации по данным видам продукции.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первый после слов «Уполномоченному органу» дополнить словами «, уполномоченным аккредитованным органам 
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3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ежемесячно предоставлять в Министерство экономики и коммерции Кыргызской Республики, как уполномоченный орган в сфере технического регулирования, сведения из реестров зарегистрированных деклараций о соответствии требованиям технических регламентов Евразийского экономического союза (Таможенного союза) по единым формам, а также информацию о случаях нарушений обязательных требований безопасности со стороны заявителей.»;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Уполномоченным аккредитованным органам по сертификации пройти процедуру аккредитации на проведение работ по регистрации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постановления, в национальном органе по аккредитации до 1 сентября 2027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уполномоченными аккредитованными органами по сертификации требований абзаца первого настоящего пункта уполномоченным аккредитованным органам по сертификации прекратить регистрацию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9 дополнить абзацем </w:t>
      </w:r>
      <w:r>
        <w:rPr>
          <w:rFonts w:ascii="Arial" w:cs="Arial" w:eastAsia="Arial" w:hAnsi="Arial"/>
          <w:sz w:val="24"/>
          <w:szCs w:val="24"/>
        </w:rPr>
        <w:t xml:space="preserve">вторым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«Департаменту профилактики заболеваний и государственного санитарно-эпидемиологического надзора Министерства здравоохранения Кыргызской Республики, Службе экологического и технического надзора при Министерстве природных ресурсов, экологии и технического надзора Кыргызской Республики проводить мониторинг и проверки зарегистрированных уполномоченными аккредитованными органами по сертификации деклараций о соответствии, а в случае выявления нарушений требований технических регламентов Евразийского экономического союза (Таможенного союза) и процедур подтверждения соответствия принимать меры в соответствии с Кодексом Кыргызской Республики о правонарушениях.»;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hjcfpm6kstjbctqs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Евразийского экономического союза (Таможенного союза) единой формы,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«Уполномоченным аккредитованным органам по сертификации, аккредитованным органам по сертификации продукции строительного назначения и (или) технических средств связи оплата производится по их прейскуранту на работы и услуги по подтверждению соответствия.»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</w:t>
      </w:r>
      <w:r>
        <w:rPr>
          <w:rFonts w:ascii="Arial" w:cs="Arial" w:eastAsia="Arial" w:hAnsi="Arial"/>
          <w:sz w:val="24"/>
          <w:szCs w:val="24"/>
        </w:rPr>
        <w:t xml:space="preserve">12 после слов «в уполномоченном органе» дополнить словами «, уполномоченном аккредитованном орган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по сертификации»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az1kt1ywzx0amxf18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ubqti-camr3_t6ol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четырнадцатый подпункта 3 пункта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hmikn7srpwo7_xc1x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сертификации» от 27 февраля 2025 года № 95.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ноября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gnwdqs1pba38flfx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dalil.kg/document/230048169</w:t>
      </w:r>
    </w:hyperlink>
  </w:p>
  <w:p>
    <w:pPr>
      <w:spacing w:after="0" w:before="40"/>
      <w:jc w:val="center"/>
    </w:pPr>
    <w:hyperlink w:history="1" r:id="rIdnnoy70tc5-llrl4yfuj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bnhgd1w23hsjbvauwkf" Type="http://schemas.openxmlformats.org/officeDocument/2006/relationships/hyperlink" Target="https://dalil.kg/document/112301#st_13" TargetMode="External"/><Relationship Id="rIdf9itidqh8iyqpbfn8jjyg" Type="http://schemas.openxmlformats.org/officeDocument/2006/relationships/hyperlink" Target="https://dalil.kg/document/112301#st_17" TargetMode="External"/><Relationship Id="rId5g9a5rdsrnmr6pplhyqh9" Type="http://schemas.openxmlformats.org/officeDocument/2006/relationships/hyperlink" Target="https://dalil.kg/document/12908" TargetMode="External"/><Relationship Id="rIduxhjcfpm6kstjbctqsoua" Type="http://schemas.openxmlformats.org/officeDocument/2006/relationships/hyperlink" Target="https://dalil.kg/document/230010901" TargetMode="External"/><Relationship Id="rIddaz1kt1ywzx0amxf18mmn" Type="http://schemas.openxmlformats.org/officeDocument/2006/relationships/hyperlink" Target="https://dalil.kg/document/158757" TargetMode="External"/><Relationship Id="rIdzsubqti-camr3_t6olvp2" Type="http://schemas.openxmlformats.org/officeDocument/2006/relationships/hyperlink" Target="https://dalil.kg/document/158762" TargetMode="External"/><Relationship Id="rIdrhmikn7srpwo7_xc1xk5i" Type="http://schemas.openxmlformats.org/officeDocument/2006/relationships/hyperlink" Target="https://dalil.kg/document/2300233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gnwdqs1pba38flfxvpf" Type="http://schemas.openxmlformats.org/officeDocument/2006/relationships/hyperlink" Target="https://dalil.kg/document/230048169" TargetMode="External"/><Relationship Id="rIdnnoy70tc5-llrl4yfuj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2026-09-24T05:33:04.686Z</dcterms:created>
  <dcterms:modified xsi:type="dcterms:W3CDTF">2026-09-24T05:33:04.686Z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