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29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444</w:t>
      </w:r>
    </w:p>
    <w:p>
      <w:pPr>
        <w:spacing w:after="120"/>
        <w:jc w:val="center"/>
      </w:pPr>
      <w:r>
        <w:rPr>
          <w:rFonts w:ascii="Arial" w:cs="Arial" w:eastAsia="Arial" w:hAnsi="Arial"/>
          <w:b/>
          <w:bCs/>
          <w:sz w:val="28"/>
          <w:szCs w:val="28"/>
        </w:rPr>
        <w:t xml:space="preserve">О внесении изменений в некоторые решения</w:t>
      </w:r>
    </w:p>
    <w:p>
      <w:pPr>
        <w:spacing w:after="120"/>
        <w:jc w:val="center"/>
      </w:pPr>
      <w:r>
        <w:rPr>
          <w:rFonts w:ascii="Arial" w:cs="Arial" w:eastAsia="Arial" w:hAnsi="Arial"/>
          <w:b/>
          <w:bCs/>
          <w:sz w:val="28"/>
          <w:szCs w:val="28"/>
        </w:rPr>
        <w:t xml:space="preserve">Правительства Кыргызской Республики и Кабинета</w:t>
      </w:r>
    </w:p>
    <w:p>
      <w:pPr>
        <w:spacing w:after="120"/>
        <w:jc w:val="center"/>
      </w:pPr>
      <w:r>
        <w:rPr>
          <w:rFonts w:ascii="Arial" w:cs="Arial" w:eastAsia="Arial" w:hAnsi="Arial"/>
          <w:b/>
          <w:bCs/>
          <w:sz w:val="28"/>
          <w:szCs w:val="28"/>
        </w:rPr>
        <w:t xml:space="preserve">Министров Кыргызской Республики в сфере</w:t>
      </w:r>
    </w:p>
    <w:p>
      <w:pPr>
        <w:spacing w:after="120"/>
        <w:jc w:val="center"/>
      </w:pPr>
      <w:r>
        <w:rPr>
          <w:rFonts w:ascii="Arial" w:cs="Arial" w:eastAsia="Arial" w:hAnsi="Arial"/>
          <w:b/>
          <w:bCs/>
          <w:sz w:val="28"/>
          <w:szCs w:val="28"/>
        </w:rPr>
        <w:t xml:space="preserve">таможенного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систематизации актов Кабинета Министров Кыргызской Республики в сфере таможенного регулирования, в соответствии со статьями </w:t>
      </w:r>
      <w:hyperlink w:history="1" r:id="rIddgeh1psu4u99oifinvuv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vxbz0ito17ts8wjo8e-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wdktjsim6nxen5nrifk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120"/>
        <w:jc w:val="both"/>
      </w:pPr>
      <w:r>
        <w:rPr>
          <w:rFonts w:ascii="Arial" w:cs="Arial" w:eastAsia="Arial" w:hAnsi="Arial"/>
          <w:sz w:val="24"/>
          <w:szCs w:val="24"/>
        </w:rPr>
        <w:t xml:space="preserve">1) в </w:t>
      </w:r>
      <w:r>
        <w:rPr>
          <w:rFonts w:ascii="Arial" w:cs="Arial" w:eastAsia="Arial" w:hAnsi="Arial"/>
          <w:sz w:val="24"/>
          <w:szCs w:val="24"/>
        </w:rPr>
        <w:t xml:space="preserve">пункте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абзацы седьмой, восьмой изложить в следующей редакции:</w:t>
      </w:r>
    </w:p>
    <w:p>
      <w:pPr>
        <w:spacing w:after="120"/>
        <w:jc w:val="both"/>
      </w:pPr>
      <w:r>
        <w:rPr>
          <w:rFonts w:ascii="Arial" w:cs="Arial" w:eastAsia="Arial" w:hAnsi="Arial"/>
          <w:sz w:val="24"/>
          <w:szCs w:val="24"/>
        </w:rPr>
        <w:t xml:space="preserve">«– </w:t>
      </w:r>
      <w:hyperlink w:history="1" r:id="rId7gg40efccanlcffdhrfqa">
        <w:r>
          <w:rPr>
            <w:rFonts w:ascii="Arial" w:cs="Arial" w:eastAsia="Arial" w:hAnsi="Arial"/>
            <w:color w:val="1D4ED8"/>
            <w:sz w:val="24"/>
            <w:szCs w:val="24"/>
            <w:u w:val="single"/>
          </w:rPr>
          <w:t xml:space="preserve">Квалификационные требования</w:t>
        </w:r>
      </w:hyperlink>
      <w:r>
        <w:rPr>
          <w:rFonts w:ascii="Arial" w:cs="Arial" w:eastAsia="Arial" w:hAnsi="Arial"/>
          <w:sz w:val="24"/>
          <w:szCs w:val="24"/>
        </w:rPr>
        <w:t xml:space="preserve"> к работникам таможенных представителей и оператора электронной торговли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hph87fzphgcdwdia4ppvv">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таможенных складов и складов электронной торговли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абзацами следующего содержания:</w:t>
      </w:r>
    </w:p>
    <w:p>
      <w:pPr>
        <w:spacing w:after="120"/>
        <w:jc w:val="both"/>
      </w:pPr>
      <w:r>
        <w:rPr>
          <w:rFonts w:ascii="Arial" w:cs="Arial" w:eastAsia="Arial" w:hAnsi="Arial"/>
          <w:sz w:val="24"/>
          <w:szCs w:val="24"/>
        </w:rPr>
        <w:t xml:space="preserve">«– </w:t>
      </w:r>
      <w:hyperlink w:history="1" r:id="rIdatuowwhf3zb4_auuz8ili">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оформления результатов проверки таможенных, иных документов и (или) сведений согласно </w:t>
      </w:r>
      <w:r>
        <w:rPr>
          <w:rFonts w:ascii="Arial" w:cs="Arial" w:eastAsia="Arial" w:hAnsi="Arial"/>
          <w:sz w:val="24"/>
          <w:szCs w:val="24"/>
        </w:rPr>
        <w:t xml:space="preserve">приложению 20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seqgcdcfwc8z6zh9-vso2">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признания таможенным органом факта уничтожения и (или) безвозвратной утраты товаров вследствие аварии или действия непреодолимой силы либо факта безвозвратной утраты товаров в результате естественной убыли при нормальных условиях перевозки (транспортировки) и (или) хранения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дополнить приложениями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в </w:t>
      </w:r>
      <w:hyperlink w:history="1" r:id="rIdewxvztg0hpkxpqjdim7v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утвержденной вышеуказанным </w:t>
      </w:r>
      <w:hyperlink w:history="1" r:id="rId29m8rgsgsosgukjjp8j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71</w:t>
      </w:r>
      <w:r>
        <w:rPr>
          <w:rFonts w:ascii="Arial" w:cs="Arial" w:eastAsia="Arial" w:hAnsi="Arial"/>
          <w:sz w:val="24"/>
          <w:szCs w:val="24"/>
        </w:rPr>
        <w:t xml:space="preserve"> слова «оттиск личной номерной печати» заменить словами «оттиск печати таможенного органа»;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104</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«С разрешения таможенного органа допускается вывоз товаров, помещенных под таможенную процедуру таможенного склада, с территории таможенного склада без завершения таможенной процедуры таможенного склада в целях их демонстрации на выставках и ярмарках на время их проведения.»;</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3</w:t>
      </w:r>
      <w:r>
        <w:rPr>
          <w:rFonts w:ascii="Arial" w:cs="Arial" w:eastAsia="Arial" w:hAnsi="Arial"/>
          <w:b w:val="false"/>
          <w:bCs w:val="false"/>
          <w:sz w:val="24"/>
          <w:szCs w:val="24"/>
        </w:rPr>
        <w:t xml:space="preserve">1</w:t>
      </w:r>
      <w:r>
        <w:rPr>
          <w:rFonts w:ascii="Arial" w:cs="Arial" w:eastAsia="Arial" w:hAnsi="Arial"/>
          <w:b w:val="false"/>
          <w:bCs w:val="false"/>
          <w:sz w:val="24"/>
          <w:szCs w:val="24"/>
        </w:rPr>
        <w:t xml:space="preserve">. Особенности применения таможенной процедуры</w:t>
      </w:r>
    </w:p>
    <w:p>
      <w:pPr>
        <w:spacing w:after="120"/>
        <w:jc w:val="center"/>
      </w:pPr>
      <w:r>
        <w:rPr>
          <w:rFonts w:ascii="Arial" w:cs="Arial" w:eastAsia="Arial" w:hAnsi="Arial"/>
          <w:b w:val="false"/>
          <w:bCs w:val="false"/>
          <w:sz w:val="24"/>
          <w:szCs w:val="24"/>
        </w:rPr>
        <w:t xml:space="preserve">таможенного склада в отношении товаров электронной</w:t>
      </w:r>
    </w:p>
    <w:p>
      <w:pPr>
        <w:spacing w:after="120"/>
        <w:jc w:val="center"/>
      </w:pPr>
      <w:r>
        <w:rPr>
          <w:rFonts w:ascii="Arial" w:cs="Arial" w:eastAsia="Arial" w:hAnsi="Arial"/>
          <w:b w:val="false"/>
          <w:bCs w:val="false"/>
          <w:sz w:val="24"/>
          <w:szCs w:val="24"/>
        </w:rPr>
        <w:t xml:space="preserve">торговли, предназначенных для реализации</w:t>
      </w:r>
    </w:p>
    <w:p>
      <w:pPr>
        <w:spacing w:after="120"/>
        <w:jc w:val="center"/>
      </w:pPr>
      <w:r>
        <w:rPr>
          <w:rFonts w:ascii="Arial" w:cs="Arial" w:eastAsia="Arial" w:hAnsi="Arial"/>
          <w:b w:val="false"/>
          <w:bCs w:val="false"/>
          <w:sz w:val="24"/>
          <w:szCs w:val="24"/>
        </w:rPr>
        <w:t xml:space="preserve">физическим лицам</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1</w:t>
      </w:r>
      <w:r>
        <w:rPr>
          <w:rFonts w:ascii="Arial" w:cs="Arial" w:eastAsia="Arial" w:hAnsi="Arial"/>
          <w:sz w:val="24"/>
          <w:szCs w:val="24"/>
        </w:rPr>
        <w:t xml:space="preserve">.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главой 23 Кодекса, с учетом особенностей, предусмотренных статьей 309</w:t>
      </w:r>
      <w:r>
        <w:rPr>
          <w:rFonts w:ascii="Arial" w:cs="Arial" w:eastAsia="Arial" w:hAnsi="Arial"/>
          <w:sz w:val="24"/>
          <w:szCs w:val="24"/>
        </w:rPr>
        <w:t xml:space="preserve">6</w:t>
      </w:r>
      <w:r>
        <w:rPr>
          <w:rFonts w:ascii="Arial" w:cs="Arial" w:eastAsia="Arial" w:hAnsi="Arial"/>
          <w:sz w:val="24"/>
          <w:szCs w:val="24"/>
        </w:rPr>
        <w:t xml:space="preserve"> Кодекса и настоящей главой.</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2</w:t>
      </w:r>
      <w:r>
        <w:rPr>
          <w:rFonts w:ascii="Arial" w:cs="Arial" w:eastAsia="Arial" w:hAnsi="Arial"/>
          <w:sz w:val="24"/>
          <w:szCs w:val="24"/>
        </w:rPr>
        <w:t xml:space="preserve">. Допускается вывоз со склада электронной торговли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статьи 309</w:t>
      </w:r>
      <w:r>
        <w:rPr>
          <w:rFonts w:ascii="Arial" w:cs="Arial" w:eastAsia="Arial" w:hAnsi="Arial"/>
          <w:sz w:val="24"/>
          <w:szCs w:val="24"/>
        </w:rPr>
        <w:t xml:space="preserve">6</w:t>
      </w:r>
      <w:r>
        <w:rPr>
          <w:rFonts w:ascii="Arial" w:cs="Arial" w:eastAsia="Arial" w:hAnsi="Arial"/>
          <w:sz w:val="24"/>
          <w:szCs w:val="24"/>
        </w:rPr>
        <w:t xml:space="preserve"> Кодекса после уведомления таможенного органа.</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3</w:t>
      </w:r>
      <w:r>
        <w:rPr>
          <w:rFonts w:ascii="Arial" w:cs="Arial" w:eastAsia="Arial" w:hAnsi="Arial"/>
          <w:sz w:val="24"/>
          <w:szCs w:val="24"/>
        </w:rPr>
        <w:t xml:space="preserve">. Под уведомлением понимается электронный документ, содержащий (подтверждающий) сведения о продаже товаров электронной торговли, предназначенных для реализации физическим лицам.</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4</w:t>
      </w:r>
      <w:r>
        <w:rPr>
          <w:rFonts w:ascii="Arial" w:cs="Arial" w:eastAsia="Arial" w:hAnsi="Arial"/>
          <w:sz w:val="24"/>
          <w:szCs w:val="24"/>
        </w:rPr>
        <w:t xml:space="preserve">. Уведомление подается оператором электронной торговли в таможенный орган, в регионе деятельности которого находится склад электронной торговли, в виде электронного документа посредством взаимодействия с информационной системой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Допускается подача уведомления в виде документа на бумажном носителе:</w:t>
      </w:r>
    </w:p>
    <w:p>
      <w:pPr>
        <w:spacing w:after="120"/>
        <w:jc w:val="both"/>
      </w:pPr>
      <w:r>
        <w:rPr>
          <w:rFonts w:ascii="Arial" w:cs="Arial" w:eastAsia="Arial" w:hAnsi="Arial"/>
          <w:sz w:val="24"/>
          <w:szCs w:val="24"/>
        </w:rPr>
        <w:t xml:space="preserve">– в случае нахождения таможенного органа на территории склада электронной торговли;</w:t>
      </w:r>
    </w:p>
    <w:p>
      <w:pPr>
        <w:spacing w:after="120"/>
        <w:jc w:val="both"/>
      </w:pPr>
      <w:r>
        <w:rPr>
          <w:rFonts w:ascii="Arial" w:cs="Arial" w:eastAsia="Arial" w:hAnsi="Arial"/>
          <w:sz w:val="24"/>
          <w:szCs w:val="24"/>
        </w:rPr>
        <w:t xml:space="preserve">– если у таможенного органа отсутствует возможность обеспечить реализацию подачи уведомления в электронной форме в связи с доработкой (модернизацией) используемых таможенными органами информационных систем, а также неисправностью таких систем, вызванной техническими сбоями, нарушениями в работе средств связи (телекоммуникационных сетей и сети Интернет), отключением электроэнергии.</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5</w:t>
      </w:r>
      <w:r>
        <w:rPr>
          <w:rFonts w:ascii="Arial" w:cs="Arial" w:eastAsia="Arial" w:hAnsi="Arial"/>
          <w:sz w:val="24"/>
          <w:szCs w:val="24"/>
        </w:rPr>
        <w:t xml:space="preserve">. Уведомление считается поданным после совершения таможенными органами таможенных операций по его регистрации.</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6</w:t>
      </w:r>
      <w:r>
        <w:rPr>
          <w:rFonts w:ascii="Arial" w:cs="Arial" w:eastAsia="Arial" w:hAnsi="Arial"/>
          <w:sz w:val="24"/>
          <w:szCs w:val="24"/>
        </w:rPr>
        <w:t xml:space="preserve">. В уведомлении должны быть указаны сведения о:</w:t>
      </w:r>
    </w:p>
    <w:p>
      <w:pPr>
        <w:spacing w:after="120"/>
        <w:jc w:val="both"/>
      </w:pPr>
      <w:r>
        <w:rPr>
          <w:rFonts w:ascii="Arial" w:cs="Arial" w:eastAsia="Arial" w:hAnsi="Arial"/>
          <w:sz w:val="24"/>
          <w:szCs w:val="24"/>
        </w:rPr>
        <w:t xml:space="preserve">– операторе электронной торговли (свидетельство);</w:t>
      </w:r>
    </w:p>
    <w:p>
      <w:pPr>
        <w:spacing w:after="120"/>
        <w:jc w:val="both"/>
      </w:pPr>
      <w:r>
        <w:rPr>
          <w:rFonts w:ascii="Arial" w:cs="Arial" w:eastAsia="Arial" w:hAnsi="Arial"/>
          <w:sz w:val="24"/>
          <w:szCs w:val="24"/>
        </w:rPr>
        <w:t xml:space="preserve">– физических лицах, получателях товаров (ИНН);</w:t>
      </w:r>
    </w:p>
    <w:p>
      <w:pPr>
        <w:spacing w:after="120"/>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jc w:val="both"/>
      </w:pPr>
      <w:r>
        <w:rPr>
          <w:rFonts w:ascii="Arial" w:cs="Arial" w:eastAsia="Arial" w:hAnsi="Arial"/>
          <w:sz w:val="24"/>
          <w:szCs w:val="24"/>
        </w:rPr>
        <w:t xml:space="preserve">– номере таможенной декларации, в соответствии с которой товары помещены под таможенную процедуру таможенного склада;</w:t>
      </w:r>
    </w:p>
    <w:p>
      <w:pPr>
        <w:spacing w:after="120"/>
        <w:jc w:val="both"/>
      </w:pPr>
      <w:r>
        <w:rPr>
          <w:rFonts w:ascii="Arial" w:cs="Arial" w:eastAsia="Arial" w:hAnsi="Arial"/>
          <w:sz w:val="24"/>
          <w:szCs w:val="24"/>
        </w:rPr>
        <w:t xml:space="preserve">– идентификационных признаках товаров;</w:t>
      </w:r>
    </w:p>
    <w:p>
      <w:pPr>
        <w:spacing w:after="120"/>
        <w:jc w:val="both"/>
      </w:pPr>
      <w:r>
        <w:rPr>
          <w:rFonts w:ascii="Arial" w:cs="Arial" w:eastAsia="Arial" w:hAnsi="Arial"/>
          <w:sz w:val="24"/>
          <w:szCs w:val="24"/>
        </w:rPr>
        <w:t xml:space="preserve">– реализации товаров на электронных торговых площадках с использованием ресурсов сети Интернет (номер заказа, артикул, ссылки);</w:t>
      </w:r>
    </w:p>
    <w:p>
      <w:pPr>
        <w:spacing w:after="120"/>
        <w:jc w:val="both"/>
      </w:pPr>
      <w:r>
        <w:rPr>
          <w:rFonts w:ascii="Arial" w:cs="Arial" w:eastAsia="Arial" w:hAnsi="Arial"/>
          <w:sz w:val="24"/>
          <w:szCs w:val="24"/>
        </w:rPr>
        <w:t xml:space="preserve">– лице, заполнившем уведомление;</w:t>
      </w:r>
    </w:p>
    <w:p>
      <w:pPr>
        <w:spacing w:after="120"/>
        <w:jc w:val="both"/>
      </w:pPr>
      <w:r>
        <w:rPr>
          <w:rFonts w:ascii="Arial" w:cs="Arial" w:eastAsia="Arial" w:hAnsi="Arial"/>
          <w:sz w:val="24"/>
          <w:szCs w:val="24"/>
        </w:rPr>
        <w:t xml:space="preserve">– иные сведения, устанавливаемые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7</w:t>
      </w:r>
      <w:r>
        <w:rPr>
          <w:rFonts w:ascii="Arial" w:cs="Arial" w:eastAsia="Arial" w:hAnsi="Arial"/>
          <w:sz w:val="24"/>
          <w:szCs w:val="24"/>
        </w:rPr>
        <w:t xml:space="preserve">. Форма и порядок заполнения уведомления, а также таможенные операции, связанные с регистрацией либо отказом в регистрации поданного уведомления, утверждаются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8</w:t>
      </w:r>
      <w:r>
        <w:rPr>
          <w:rFonts w:ascii="Arial" w:cs="Arial" w:eastAsia="Arial" w:hAnsi="Arial"/>
          <w:sz w:val="24"/>
          <w:szCs w:val="24"/>
        </w:rPr>
        <w:t xml:space="preserve">.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статьи 309</w:t>
      </w:r>
      <w:r>
        <w:rPr>
          <w:rFonts w:ascii="Arial" w:cs="Arial" w:eastAsia="Arial" w:hAnsi="Arial"/>
          <w:sz w:val="24"/>
          <w:szCs w:val="24"/>
        </w:rPr>
        <w:t xml:space="preserve">6</w:t>
      </w:r>
      <w:r>
        <w:rPr>
          <w:rFonts w:ascii="Arial" w:cs="Arial" w:eastAsia="Arial" w:hAnsi="Arial"/>
          <w:sz w:val="24"/>
          <w:szCs w:val="24"/>
        </w:rPr>
        <w:t xml:space="preserve"> Кодекса, при условии их идентификации в порядке, определяемом Евразийской экономической комиссией.</w:t>
      </w:r>
    </w:p>
    <w:p>
      <w:pPr>
        <w:spacing w:after="120"/>
        <w:jc w:val="both"/>
      </w:pPr>
      <w:r>
        <w:rPr>
          <w:rFonts w:ascii="Arial" w:cs="Arial" w:eastAsia="Arial" w:hAnsi="Arial"/>
          <w:sz w:val="24"/>
          <w:szCs w:val="24"/>
        </w:rPr>
        <w:t xml:space="preserve">В зависимости от характеристик товаров электронной торговли, предназначенных для реализации физическим лицам, могут быть применены иные способы идентификации таких товаров, определяемые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3 рабочих дней со дня оформления документов, подтверждающих возврат товаров.</w:t>
      </w:r>
    </w:p>
    <w:p>
      <w:pPr>
        <w:spacing w:after="120"/>
        <w:jc w:val="both"/>
      </w:pPr>
      <w:r>
        <w:rPr>
          <w:rFonts w:ascii="Arial" w:cs="Arial" w:eastAsia="Arial" w:hAnsi="Arial"/>
          <w:sz w:val="24"/>
          <w:szCs w:val="24"/>
        </w:rPr>
        <w:t xml:space="preserve">Порядок оформления возврата товаров электронной торговли и форма такого документа определяются оператором электронной торговли с учетом положений настоящей главы в соответствии с законодательством Кыргызской Республики в сфере защиты прав потребителей и гражданского правоотношения.</w:t>
      </w:r>
    </w:p>
    <w:p>
      <w:pPr>
        <w:spacing w:after="120"/>
        <w:jc w:val="both"/>
      </w:pPr>
      <w:r>
        <w:rPr>
          <w:rFonts w:ascii="Arial" w:cs="Arial" w:eastAsia="Arial" w:hAnsi="Arial"/>
          <w:sz w:val="24"/>
          <w:szCs w:val="24"/>
        </w:rPr>
        <w:t xml:space="preserve">Документ, подтверждающий возврат товаров электронной торговли, должен содержать сведения о:</w:t>
      </w:r>
    </w:p>
    <w:p>
      <w:pPr>
        <w:spacing w:after="120"/>
        <w:jc w:val="both"/>
      </w:pPr>
      <w:r>
        <w:rPr>
          <w:rFonts w:ascii="Arial" w:cs="Arial" w:eastAsia="Arial" w:hAnsi="Arial"/>
          <w:sz w:val="24"/>
          <w:szCs w:val="24"/>
        </w:rPr>
        <w:t xml:space="preserve">– операторе электронной торговли (свидетельство);</w:t>
      </w:r>
    </w:p>
    <w:p>
      <w:pPr>
        <w:spacing w:after="120"/>
        <w:jc w:val="both"/>
      </w:pPr>
      <w:r>
        <w:rPr>
          <w:rFonts w:ascii="Arial" w:cs="Arial" w:eastAsia="Arial" w:hAnsi="Arial"/>
          <w:sz w:val="24"/>
          <w:szCs w:val="24"/>
        </w:rPr>
        <w:t xml:space="preserve">– физических лицах, получателях товаров (ИНН);</w:t>
      </w:r>
    </w:p>
    <w:p>
      <w:pPr>
        <w:spacing w:after="120"/>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jc w:val="both"/>
      </w:pPr>
      <w:r>
        <w:rPr>
          <w:rFonts w:ascii="Arial" w:cs="Arial" w:eastAsia="Arial" w:hAnsi="Arial"/>
          <w:sz w:val="24"/>
          <w:szCs w:val="24"/>
        </w:rPr>
        <w:t xml:space="preserve">– идентификационных признаках товаров;</w:t>
      </w:r>
    </w:p>
    <w:p>
      <w:pPr>
        <w:spacing w:after="120"/>
        <w:jc w:val="both"/>
      </w:pPr>
      <w:r>
        <w:rPr>
          <w:rFonts w:ascii="Arial" w:cs="Arial" w:eastAsia="Arial" w:hAnsi="Arial"/>
          <w:sz w:val="24"/>
          <w:szCs w:val="24"/>
        </w:rPr>
        <w:t xml:space="preserve">– причинах, связанных с возвратом товаров;</w:t>
      </w:r>
    </w:p>
    <w:p>
      <w:pPr>
        <w:spacing w:after="120"/>
        <w:jc w:val="both"/>
      </w:pPr>
      <w:r>
        <w:rPr>
          <w:rFonts w:ascii="Arial" w:cs="Arial" w:eastAsia="Arial" w:hAnsi="Arial"/>
          <w:sz w:val="24"/>
          <w:szCs w:val="24"/>
        </w:rPr>
        <w:t xml:space="preserve">– дате и времени оформления документа;</w:t>
      </w:r>
    </w:p>
    <w:p>
      <w:pPr>
        <w:spacing w:after="120"/>
        <w:jc w:val="both"/>
      </w:pPr>
      <w:r>
        <w:rPr>
          <w:rFonts w:ascii="Arial" w:cs="Arial" w:eastAsia="Arial" w:hAnsi="Arial"/>
          <w:sz w:val="24"/>
          <w:szCs w:val="24"/>
        </w:rPr>
        <w:t xml:space="preserve">– иные сведения, определяемые оператором электронной торговли.</w:t>
      </w:r>
    </w:p>
    <w:p>
      <w:pPr>
        <w:spacing w:after="120"/>
        <w:jc w:val="both"/>
      </w:pPr>
      <w:r>
        <w:rPr>
          <w:rFonts w:ascii="Arial" w:cs="Arial" w:eastAsia="Arial" w:hAnsi="Arial"/>
          <w:sz w:val="24"/>
          <w:szCs w:val="24"/>
        </w:rPr>
        <w:t xml:space="preserve">Уведомление о возврате товаров электронной торговли, осуществляется оператором электронной торговли в сроки, установленные абзацем третьим пункта 11 статьи 309</w:t>
      </w:r>
      <w:r>
        <w:rPr>
          <w:rFonts w:ascii="Arial" w:cs="Arial" w:eastAsia="Arial" w:hAnsi="Arial"/>
          <w:sz w:val="24"/>
          <w:szCs w:val="24"/>
        </w:rPr>
        <w:t xml:space="preserve">6</w:t>
      </w:r>
      <w:r>
        <w:rPr>
          <w:rFonts w:ascii="Arial" w:cs="Arial" w:eastAsia="Arial" w:hAnsi="Arial"/>
          <w:sz w:val="24"/>
          <w:szCs w:val="24"/>
        </w:rPr>
        <w:t xml:space="preserve"> Кодекса, а также по форме и в порядке согласно абзацу четвертому настоящего пункта.»;</w:t>
      </w:r>
    </w:p>
    <w:p>
      <w:pPr>
        <w:spacing w:after="120"/>
        <w:jc w:val="both"/>
      </w:pPr>
      <w:r>
        <w:rPr>
          <w:rFonts w:ascii="Arial" w:cs="Arial" w:eastAsia="Arial" w:hAnsi="Arial"/>
          <w:sz w:val="24"/>
          <w:szCs w:val="24"/>
        </w:rPr>
        <w:t xml:space="preserve">4) в </w:t>
      </w:r>
      <w:hyperlink w:history="1" r:id="rIdirygjohntyldzhlejnmf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uo9rbizgdowyygkimm-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12</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«Порядок проведения таможенного контроля за целевым использованием условно выпущенных товаров устанавливается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«33.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и транспортных средств, применением навигационных (электронных) пломб, указанных в пункте 3 части 1 </w:t>
      </w:r>
      <w:r>
        <w:rPr>
          <w:rFonts w:ascii="Arial" w:cs="Arial" w:eastAsia="Arial" w:hAnsi="Arial"/>
          <w:sz w:val="24"/>
          <w:szCs w:val="24"/>
        </w:rPr>
        <w:t xml:space="preserve">статьи 41</w:t>
      </w:r>
      <w:r>
        <w:rPr>
          <w:rFonts w:ascii="Arial" w:cs="Arial" w:eastAsia="Arial" w:hAnsi="Arial"/>
          <w:sz w:val="24"/>
          <w:szCs w:val="24"/>
        </w:rPr>
        <w:t xml:space="preserve"> Закона, а также принятие предварительного решения по классификации товаров и предварительного решения о происхождении товаров.»;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34</w:t>
      </w:r>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 сборы за применение навигационных (электронных) пломб.»;</w:t>
      </w:r>
    </w:p>
    <w:p>
      <w:pPr>
        <w:spacing w:after="120"/>
        <w:jc w:val="both"/>
      </w:pPr>
      <w:r>
        <w:rPr>
          <w:rFonts w:ascii="Arial" w:cs="Arial" w:eastAsia="Arial" w:hAnsi="Arial"/>
          <w:sz w:val="24"/>
          <w:szCs w:val="24"/>
        </w:rPr>
        <w:t xml:space="preserve">– абзац третий </w:t>
      </w:r>
      <w:r>
        <w:rPr>
          <w:rFonts w:ascii="Arial" w:cs="Arial" w:eastAsia="Arial" w:hAnsi="Arial"/>
          <w:sz w:val="24"/>
          <w:szCs w:val="24"/>
        </w:rPr>
        <w:t xml:space="preserve">пункта 36</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«Таможенные сборы за таможенное сопровождение, а также сборы за применение навигационной (электронной) пломбы могут быть уплачены как до начала фактического осуществления таможенного сопровождения и/или применения навигационной (электронной) пломбы, так и после завершения таможенного сопровождения и/или применения навигационной (электронной) пломбы в таможенном органе назначения.»;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37</w:t>
      </w:r>
      <w:r>
        <w:rPr>
          <w:rFonts w:ascii="Arial" w:cs="Arial" w:eastAsia="Arial" w:hAnsi="Arial"/>
          <w:sz w:val="24"/>
          <w:szCs w:val="24"/>
        </w:rPr>
        <w:t xml:space="preserve"> дополнить подпунктом 5 следующего содержания:</w:t>
      </w:r>
    </w:p>
    <w:p>
      <w:pPr>
        <w:spacing w:after="120"/>
        <w:jc w:val="both"/>
      </w:pPr>
      <w:r>
        <w:rPr>
          <w:rFonts w:ascii="Arial" w:cs="Arial" w:eastAsia="Arial" w:hAnsi="Arial"/>
          <w:sz w:val="24"/>
          <w:szCs w:val="24"/>
        </w:rPr>
        <w:t xml:space="preserve">«5) при применении навигационных (электронных) пломб.»;</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38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перевозки товаров Союза между таможенными органами Союза через территории государств, не являющихся членами Союза;»;</w:t>
      </w:r>
    </w:p>
    <w:p>
      <w:pPr>
        <w:spacing w:after="120"/>
        <w:jc w:val="both"/>
      </w:pPr>
      <w:r>
        <w:rPr>
          <w:rFonts w:ascii="Arial" w:cs="Arial" w:eastAsia="Arial" w:hAnsi="Arial"/>
          <w:sz w:val="24"/>
          <w:szCs w:val="24"/>
        </w:rPr>
        <w:t xml:space="preserve">дополнить абзацем седьмым следующего содержания:</w:t>
      </w:r>
    </w:p>
    <w:p>
      <w:pPr>
        <w:spacing w:after="120"/>
        <w:jc w:val="both"/>
      </w:pPr>
      <w:r>
        <w:rPr>
          <w:rFonts w:ascii="Arial" w:cs="Arial" w:eastAsia="Arial" w:hAnsi="Arial"/>
          <w:sz w:val="24"/>
          <w:szCs w:val="24"/>
        </w:rPr>
        <w:t xml:space="preserve">«– перевозки иностранных товаров с территории третьей страны на территорию той же страны через иные места, являющиеся местами перемещения товаров через территорию Союза в Кыргызской Республике.»;</w:t>
      </w:r>
    </w:p>
    <w:p>
      <w:pPr>
        <w:spacing w:after="120"/>
        <w:jc w:val="both"/>
      </w:pPr>
      <w:r>
        <w:rPr>
          <w:rFonts w:ascii="Arial" w:cs="Arial" w:eastAsia="Arial" w:hAnsi="Arial"/>
          <w:sz w:val="24"/>
          <w:szCs w:val="24"/>
        </w:rPr>
        <w:t xml:space="preserve">– дополнить пунктами </w:t>
      </w:r>
      <w:r>
        <w:rPr>
          <w:rFonts w:ascii="Arial" w:cs="Arial" w:eastAsia="Arial" w:hAnsi="Arial"/>
          <w:sz w:val="24"/>
          <w:szCs w:val="24"/>
        </w:rPr>
        <w:t xml:space="preserve">38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38</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«38</w:t>
      </w:r>
      <w:r>
        <w:rPr>
          <w:rFonts w:ascii="Arial" w:cs="Arial" w:eastAsia="Arial" w:hAnsi="Arial"/>
          <w:sz w:val="24"/>
          <w:szCs w:val="24"/>
        </w:rPr>
        <w:t xml:space="preserve">2</w:t>
      </w:r>
      <w:r>
        <w:rPr>
          <w:rFonts w:ascii="Arial" w:cs="Arial" w:eastAsia="Arial" w:hAnsi="Arial"/>
          <w:sz w:val="24"/>
          <w:szCs w:val="24"/>
        </w:rPr>
        <w:t xml:space="preserve">. За совершение таможенными органами действий, связанных с выпуском товаров электронной торговли, приобретенных одним физическим лицом для личного пользования, взимаются таможенные сборы за таможенные операции в размере 6 сомов за 1 кг брутто.</w:t>
      </w:r>
    </w:p>
    <w:p>
      <w:pPr>
        <w:spacing w:after="120"/>
        <w:jc w:val="both"/>
      </w:pPr>
      <w:r>
        <w:rPr>
          <w:rFonts w:ascii="Arial" w:cs="Arial" w:eastAsia="Arial" w:hAnsi="Arial"/>
          <w:sz w:val="24"/>
          <w:szCs w:val="24"/>
        </w:rPr>
        <w:t xml:space="preserve">38</w:t>
      </w:r>
      <w:r>
        <w:rPr>
          <w:rFonts w:ascii="Arial" w:cs="Arial" w:eastAsia="Arial" w:hAnsi="Arial"/>
          <w:sz w:val="24"/>
          <w:szCs w:val="24"/>
        </w:rPr>
        <w:t xml:space="preserve">3</w:t>
      </w:r>
      <w:r>
        <w:rPr>
          <w:rFonts w:ascii="Arial" w:cs="Arial" w:eastAsia="Arial" w:hAnsi="Arial"/>
          <w:sz w:val="24"/>
          <w:szCs w:val="24"/>
        </w:rPr>
        <w:t xml:space="preserve">. Таможенные сборы за совершение действий, связанных с выпуском автомобильного транспорта для внутреннего обращения физическими лицами, взимаются в размере 22 (двадцать два) расчетных показателей.»;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«39. В случаях, установленных </w:t>
      </w:r>
      <w:r>
        <w:rPr>
          <w:rFonts w:ascii="Arial" w:cs="Arial" w:eastAsia="Arial" w:hAnsi="Arial"/>
          <w:sz w:val="24"/>
          <w:szCs w:val="24"/>
        </w:rPr>
        <w:t xml:space="preserve">статьей 42</w:t>
      </w:r>
      <w:r>
        <w:rPr>
          <w:rFonts w:ascii="Arial" w:cs="Arial" w:eastAsia="Arial" w:hAnsi="Arial"/>
          <w:sz w:val="24"/>
          <w:szCs w:val="24"/>
        </w:rPr>
        <w:t xml:space="preserve"> Закона, таможенные органы вправе применять таможенное сопровождение, а также навигационные (электронные) пломбы.</w:t>
      </w:r>
    </w:p>
    <w:p>
      <w:pPr>
        <w:spacing w:after="120"/>
        <w:jc w:val="both"/>
      </w:pPr>
      <w:r>
        <w:rPr>
          <w:rFonts w:ascii="Arial" w:cs="Arial" w:eastAsia="Arial" w:hAnsi="Arial"/>
          <w:sz w:val="24"/>
          <w:szCs w:val="24"/>
        </w:rPr>
        <w:t xml:space="preserve">За таможенное сопровождение и применение навигационной (электронной) пломбы от таможенного органа отправления до таможенного органа назначения каждого транспортного средства, перевозящего товары, взимаются таможенные сборы в размере одной десятой расчетного показателя за каждый полный и неполный километр расстояния, но не менее пяти расчетных показателей.</w:t>
      </w:r>
    </w:p>
    <w:p>
      <w:pPr>
        <w:spacing w:after="120"/>
        <w:jc w:val="both"/>
      </w:pPr>
      <w:r>
        <w:rPr>
          <w:rFonts w:ascii="Arial" w:cs="Arial" w:eastAsia="Arial" w:hAnsi="Arial"/>
          <w:sz w:val="24"/>
          <w:szCs w:val="24"/>
        </w:rPr>
        <w:t xml:space="preserve">Расстояние между таможенным органом отправления и таможенным органом назначения, рассчитываемое при принятии решения о таможенном сопровождении и применении навигационных (электронных) пломб, определяется на основании сведений, полученных с использованием глобальных навигационных спутниковых систем.</w:t>
      </w:r>
    </w:p>
    <w:p>
      <w:pPr>
        <w:spacing w:after="120"/>
        <w:jc w:val="both"/>
      </w:pPr>
      <w:r>
        <w:rPr>
          <w:rFonts w:ascii="Arial" w:cs="Arial" w:eastAsia="Arial" w:hAnsi="Arial"/>
          <w:sz w:val="24"/>
          <w:szCs w:val="24"/>
        </w:rPr>
        <w:t xml:space="preserve">Под понятиями «таможенный орган отправления» и «таможенный орган назначения» понимаются места перемещения товаров на таможенной границе Союза, иные места перемещения товаров на таможенной границе Союза, место таможенного оформления таможенного органа, а также иные места хранения товаров, в которых начинаются (завершаются) таможенные операции.»;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53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«53. Товары, ввезенные на таможенную территорию хозяйствующими субъектами, зарегистрированными в качестве плательщиков НДС, или субъектом, применяющим режим упрощенной системы налогообложения на основе единого налога, непосредственно для собственных производственных целей в качестве основных средств, а также товары, приобретенные по договорам мурабаха и иджара мунтахийя биттамлик в соответствии с исламским финансированием, считаются условно выпущенными товарами.»;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57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после слов «торгово-логистическим центром сельскохозяйственного назначения» дополнить словами «, производителем ювелирных изделий»;</w:t>
      </w:r>
    </w:p>
    <w:p>
      <w:pPr>
        <w:spacing w:after="120"/>
        <w:jc w:val="both"/>
      </w:pPr>
      <w:r>
        <w:rPr>
          <w:rFonts w:ascii="Arial" w:cs="Arial" w:eastAsia="Arial" w:hAnsi="Arial"/>
          <w:sz w:val="24"/>
          <w:szCs w:val="24"/>
        </w:rPr>
        <w:t xml:space="preserve">абзац четвертый после слов «хозяйствующим субъектом по договору финансовой аренды (лизинга)» дополнить словами «или иджара мунтахийя биттамлик в соответствии с исламским финансированием»;</w:t>
      </w:r>
    </w:p>
    <w:p>
      <w:pPr>
        <w:spacing w:after="120"/>
        <w:jc w:val="both"/>
      </w:pPr>
      <w:r>
        <w:rPr>
          <w:rFonts w:ascii="Arial" w:cs="Arial" w:eastAsia="Arial" w:hAnsi="Arial"/>
          <w:sz w:val="24"/>
          <w:szCs w:val="24"/>
        </w:rPr>
        <w:t xml:space="preserve">абзац десятый после слов «выпуска для внутреннего потребления» дополнить словами «и (или) реимпорта»;</w:t>
      </w:r>
    </w:p>
    <w:p>
      <w:pPr>
        <w:spacing w:after="120"/>
        <w:jc w:val="both"/>
      </w:pPr>
      <w:r>
        <w:rPr>
          <w:rFonts w:ascii="Arial" w:cs="Arial" w:eastAsia="Arial" w:hAnsi="Arial"/>
          <w:sz w:val="24"/>
          <w:szCs w:val="24"/>
        </w:rPr>
        <w:t xml:space="preserve">дополнить абзацами следующего содержания:</w:t>
      </w:r>
    </w:p>
    <w:p>
      <w:pPr>
        <w:spacing w:after="120"/>
        <w:jc w:val="both"/>
      </w:pPr>
      <w:r>
        <w:rPr>
          <w:rFonts w:ascii="Arial" w:cs="Arial" w:eastAsia="Arial" w:hAnsi="Arial"/>
          <w:sz w:val="24"/>
          <w:szCs w:val="24"/>
        </w:rPr>
        <w:t xml:space="preserve">«При таможенном декларировании импортируемых товаров, за исключением импорта с территорий государств – членов Союза, банком для дальнейшей реализации по договору мурабаха в соответствии с исламским финансированием таможенному органу представляется обязательство в произвольной форме, отпечатанное на фирменном бланке банка, утвержденное и подписанное руководителем, о предоставлении договора мурабаха в соответствии с исламским финансированием в течение 30 календарных дней с момента выпуска таких товаров.</w:t>
      </w:r>
    </w:p>
    <w:p>
      <w:pPr>
        <w:spacing w:after="120"/>
        <w:jc w:val="both"/>
      </w:pPr>
      <w:r>
        <w:rPr>
          <w:rFonts w:ascii="Arial" w:cs="Arial" w:eastAsia="Arial" w:hAnsi="Arial"/>
          <w:sz w:val="24"/>
          <w:szCs w:val="24"/>
        </w:rPr>
        <w:t xml:space="preserve">Хозяйствующим субъектом по договору мурабаха в соответствии с исламским финансированием для собственных производственных целей таможенному органу представляется:</w:t>
      </w:r>
    </w:p>
    <w:p>
      <w:pPr>
        <w:spacing w:after="120"/>
        <w:jc w:val="both"/>
      </w:pPr>
      <w:r>
        <w:rPr>
          <w:rFonts w:ascii="Arial" w:cs="Arial" w:eastAsia="Arial" w:hAnsi="Arial"/>
          <w:sz w:val="24"/>
          <w:szCs w:val="24"/>
        </w:rPr>
        <w:t xml:space="preserve">– обязательство (приложение 1),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jc w:val="both"/>
      </w:pPr>
      <w:r>
        <w:rPr>
          <w:rFonts w:ascii="Arial" w:cs="Arial" w:eastAsia="Arial" w:hAnsi="Arial"/>
          <w:sz w:val="24"/>
          <w:szCs w:val="24"/>
        </w:rPr>
        <w:t xml:space="preserve">– оригинал справки (приложение 3), подтверждающей, что данный субъект зарегистрирован в налоговых органах, выданной налоговым органом по месту регистрации хозяйствующего субъекта и действующей в течение 30 календарных дней со дня выдачи.»;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58</w:t>
      </w:r>
      <w:r>
        <w:rPr>
          <w:rFonts w:ascii="Arial" w:cs="Arial" w:eastAsia="Arial" w:hAnsi="Arial"/>
          <w:sz w:val="24"/>
          <w:szCs w:val="24"/>
        </w:rPr>
        <w:t xml:space="preserve">1</w:t>
      </w:r>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абзац первый </w:t>
      </w:r>
      <w:r>
        <w:rPr>
          <w:rFonts w:ascii="Arial" w:cs="Arial" w:eastAsia="Arial" w:hAnsi="Arial"/>
          <w:sz w:val="24"/>
          <w:szCs w:val="24"/>
        </w:rPr>
        <w:t xml:space="preserve">пункта 100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«100. Обеспечение исполнения обязанности по уплате таможенных платежей, специальных, антидемпинговых, компенсационных пошлин не представляется в случаях, установленных частью 3 </w:t>
      </w:r>
      <w:r>
        <w:rPr>
          <w:rFonts w:ascii="Arial" w:cs="Arial" w:eastAsia="Arial" w:hAnsi="Arial"/>
          <w:sz w:val="24"/>
          <w:szCs w:val="24"/>
        </w:rPr>
        <w:t xml:space="preserve">статьи 63</w:t>
      </w:r>
      <w:r>
        <w:rPr>
          <w:rFonts w:ascii="Arial" w:cs="Arial" w:eastAsia="Arial" w:hAnsi="Arial"/>
          <w:sz w:val="24"/>
          <w:szCs w:val="24"/>
        </w:rPr>
        <w:t xml:space="preserve"> Закона, а также при применении навигационной (электронной) пломбы при перемещении (транспортировке) товаров в соответствии с таможенной процедурой таможенного транзита по территории Кыргызской Республики.»;</w:t>
      </w:r>
    </w:p>
    <w:p>
      <w:pPr>
        <w:spacing w:after="120"/>
        <w:jc w:val="both"/>
      </w:pPr>
      <w:r>
        <w:rPr>
          <w:rFonts w:ascii="Arial" w:cs="Arial" w:eastAsia="Arial" w:hAnsi="Arial"/>
          <w:sz w:val="24"/>
          <w:szCs w:val="24"/>
        </w:rPr>
        <w:t xml:space="preserve">– в абзаце втором </w:t>
      </w:r>
      <w:r>
        <w:rPr>
          <w:rFonts w:ascii="Arial" w:cs="Arial" w:eastAsia="Arial" w:hAnsi="Arial"/>
          <w:sz w:val="24"/>
          <w:szCs w:val="24"/>
        </w:rPr>
        <w:t xml:space="preserve">пункта 158</w:t>
      </w:r>
      <w:r>
        <w:rPr>
          <w:rFonts w:ascii="Arial" w:cs="Arial" w:eastAsia="Arial" w:hAnsi="Arial"/>
          <w:sz w:val="24"/>
          <w:szCs w:val="24"/>
        </w:rPr>
        <w:t xml:space="preserve"> слова «нотариально заверенные» исключить;</w:t>
      </w:r>
    </w:p>
    <w:p>
      <w:pPr>
        <w:spacing w:after="120"/>
        <w:jc w:val="both"/>
      </w:pPr>
      <w:r>
        <w:rPr>
          <w:rFonts w:ascii="Arial" w:cs="Arial" w:eastAsia="Arial" w:hAnsi="Arial"/>
          <w:sz w:val="24"/>
          <w:szCs w:val="24"/>
        </w:rPr>
        <w:t xml:space="preserve">5) </w:t>
      </w:r>
      <w:hyperlink w:history="1" r:id="rId6srwsd7g2io9kape_-d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утвержденное вышеуказанным </w:t>
      </w:r>
      <w:hyperlink w:history="1" r:id="rIdfwgyjttygvn9yrgs_mw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w:t>
      </w:r>
      <w:hyperlink w:history="1" r:id="rIdotb4jrpc3no6omjn1txk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 </w:t>
      </w:r>
      <w:hyperlink w:history="1" r:id="rIdyoaja4qb5zc3ucxohrym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свободном складе, утвержденном вышеуказанным </w:t>
      </w:r>
      <w:hyperlink w:history="1" r:id="rIdbcqkf9agyrpkwpevao20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подпунктах 1 и 2 </w:t>
      </w:r>
      <w:r>
        <w:rPr>
          <w:rFonts w:ascii="Arial" w:cs="Arial" w:eastAsia="Arial" w:hAnsi="Arial"/>
          <w:sz w:val="24"/>
          <w:szCs w:val="24"/>
        </w:rPr>
        <w:t xml:space="preserve">пункта 5</w:t>
      </w:r>
      <w:r>
        <w:rPr>
          <w:rFonts w:ascii="Arial" w:cs="Arial" w:eastAsia="Arial" w:hAnsi="Arial"/>
          <w:sz w:val="24"/>
          <w:szCs w:val="24"/>
        </w:rPr>
        <w:t xml:space="preserve"> слова «нотариально заверенные» исключить;</w:t>
      </w:r>
    </w:p>
    <w:p>
      <w:pPr>
        <w:spacing w:after="120"/>
        <w:jc w:val="both"/>
      </w:pPr>
      <w:r>
        <w:rPr>
          <w:rFonts w:ascii="Arial" w:cs="Arial" w:eastAsia="Arial" w:hAnsi="Arial"/>
          <w:sz w:val="24"/>
          <w:szCs w:val="24"/>
        </w:rPr>
        <w:t xml:space="preserve">7) в </w:t>
      </w:r>
      <w:hyperlink w:history="1" r:id="rId10y75nuscw7578be1qwmj">
        <w:r>
          <w:rPr>
            <w:rFonts w:ascii="Arial" w:cs="Arial" w:eastAsia="Arial" w:hAnsi="Arial"/>
            <w:color w:val="1D4ED8"/>
            <w:sz w:val="24"/>
            <w:szCs w:val="24"/>
            <w:u w:val="single"/>
          </w:rPr>
          <w:t xml:space="preserve">Квалификационных требованиях</w:t>
        </w:r>
      </w:hyperlink>
      <w:r>
        <w:rPr>
          <w:rFonts w:ascii="Arial" w:cs="Arial" w:eastAsia="Arial" w:hAnsi="Arial"/>
          <w:sz w:val="24"/>
          <w:szCs w:val="24"/>
        </w:rPr>
        <w:t xml:space="preserve"> к работникам таможенных представителей, утвержденных вышеуказанным </w:t>
      </w:r>
      <w:hyperlink w:history="1" r:id="rIdk0rnu35bph1rqzakezp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изложить в следующей редакции: «Квалификационные требования к работникам таможенных представителей и операторов электронной торговли»;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w:t>
      </w:r>
      <w:r>
        <w:rPr>
          <w:rFonts w:ascii="Arial" w:cs="Arial" w:eastAsia="Arial" w:hAnsi="Arial"/>
          <w:sz w:val="24"/>
          <w:szCs w:val="24"/>
        </w:rPr>
        <w:t xml:space="preserve"> после слов «работникам таможенных представителей,» дополнить словами «операторов электронной торговли,»;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первом слова «от имени таможенного представителя» заменить словами «в качестве работника таможенного представителя или операторов электронной торговли»;</w:t>
      </w:r>
    </w:p>
    <w:p>
      <w:pPr>
        <w:spacing w:after="120"/>
        <w:jc w:val="both"/>
      </w:pPr>
      <w:r>
        <w:rPr>
          <w:rFonts w:ascii="Arial" w:cs="Arial" w:eastAsia="Arial" w:hAnsi="Arial"/>
          <w:sz w:val="24"/>
          <w:szCs w:val="24"/>
        </w:rPr>
        <w:t xml:space="preserve">в подпункте 1 слова «порядок и условия» заменить словами «порядок, условия и особенности»;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10</w:t>
      </w:r>
      <w:r>
        <w:rPr>
          <w:rFonts w:ascii="Arial" w:cs="Arial" w:eastAsia="Arial" w:hAnsi="Arial"/>
          <w:sz w:val="24"/>
          <w:szCs w:val="24"/>
        </w:rPr>
        <w:t xml:space="preserve"> слова «нотариально заверенная» исключить;</w:t>
      </w:r>
    </w:p>
    <w:p>
      <w:pPr>
        <w:spacing w:after="120"/>
        <w:jc w:val="both"/>
      </w:pPr>
      <w:r>
        <w:rPr>
          <w:rFonts w:ascii="Arial" w:cs="Arial" w:eastAsia="Arial" w:hAnsi="Arial"/>
          <w:sz w:val="24"/>
          <w:szCs w:val="24"/>
        </w:rPr>
        <w:t xml:space="preserve">– абзац четвертый </w:t>
      </w:r>
      <w:r>
        <w:rPr>
          <w:rFonts w:ascii="Arial" w:cs="Arial" w:eastAsia="Arial" w:hAnsi="Arial"/>
          <w:sz w:val="24"/>
          <w:szCs w:val="24"/>
        </w:rPr>
        <w:t xml:space="preserve">пункта 15</w:t>
      </w:r>
      <w:r>
        <w:rPr>
          <w:rFonts w:ascii="Arial" w:cs="Arial" w:eastAsia="Arial" w:hAnsi="Arial"/>
          <w:sz w:val="24"/>
          <w:szCs w:val="24"/>
        </w:rPr>
        <w:t xml:space="preserve"> после слов «подпунктом 3 пункта 1 статьи 405» дополнить словами «и подпунктом 2 пункта 1 статьи 429</w:t>
      </w:r>
      <w:r>
        <w:rPr>
          <w:rFonts w:ascii="Arial" w:cs="Arial" w:eastAsia="Arial" w:hAnsi="Arial"/>
          <w:sz w:val="24"/>
          <w:szCs w:val="24"/>
        </w:rPr>
        <w:t xml:space="preserve">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 </w:t>
      </w:r>
      <w:hyperlink w:history="1" r:id="rId3cnjo8jnxlfkqu4woskp0">
        <w:r>
          <w:rPr>
            <w:rFonts w:ascii="Arial" w:cs="Arial" w:eastAsia="Arial" w:hAnsi="Arial"/>
            <w:color w:val="1D4ED8"/>
            <w:sz w:val="24"/>
            <w:szCs w:val="24"/>
            <w:u w:val="single"/>
          </w:rPr>
          <w:t xml:space="preserve">Требованиях</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и таможенных складов, утвержденных вышеуказанным </w:t>
      </w:r>
      <w:hyperlink w:history="1" r:id="rIdjqx07csqqese0cu7b1k7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изложить в следующей редакции: «Требования к инфраструктуре, техническому оснащению и режиму работы складов временного хранения, таможенных складов и складов электронной торговли»;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w:t>
      </w:r>
      <w:r>
        <w:rPr>
          <w:rFonts w:ascii="Arial" w:cs="Arial" w:eastAsia="Arial" w:hAnsi="Arial"/>
          <w:sz w:val="24"/>
          <w:szCs w:val="24"/>
        </w:rPr>
        <w:t xml:space="preserve"> дополнить подпунктом 4 следующего содержания:</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склад электронной торговли –</w:t>
      </w:r>
      <w:r>
        <w:rPr>
          <w:rFonts w:ascii="Arial" w:cs="Arial" w:eastAsia="Arial" w:hAnsi="Arial"/>
          <w:sz w:val="24"/>
          <w:szCs w:val="24"/>
        </w:rPr>
        <w:t xml:space="preserve"> сооружения, помещения (части помещений) и (или) открытые площадки (части открытых площадок), в том числе находящиеся в местах (учреждениях) международного почтового обмена, предназначенные для временного хранения товаров электронной торговли и (или) хранения товаров электронной торговли, помещенных под таможенную процедуру таможенного склада.»;</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3</w:t>
      </w:r>
      <w:r>
        <w:rPr>
          <w:rFonts w:ascii="Arial" w:cs="Arial" w:eastAsia="Arial" w:hAnsi="Arial"/>
          <w:sz w:val="24"/>
          <w:szCs w:val="24"/>
        </w:rPr>
        <w:t xml:space="preserve"> слова «Склады временного хранения и таможенные склады» заменить словами «Склады временного хранения, таможенные склады и склады электронной торговли»;</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6</w:t>
      </w:r>
      <w:r>
        <w:rPr>
          <w:rFonts w:ascii="Arial" w:cs="Arial" w:eastAsia="Arial" w:hAnsi="Arial"/>
          <w:b w:val="false"/>
          <w:bCs w:val="false"/>
          <w:sz w:val="24"/>
          <w:szCs w:val="24"/>
        </w:rPr>
        <w:t xml:space="preserve">1</w:t>
      </w:r>
      <w:r>
        <w:rPr>
          <w:rFonts w:ascii="Arial" w:cs="Arial" w:eastAsia="Arial" w:hAnsi="Arial"/>
          <w:b w:val="false"/>
          <w:bCs w:val="false"/>
          <w:sz w:val="24"/>
          <w:szCs w:val="24"/>
        </w:rPr>
        <w:t xml:space="preserve">. Требования к инфраструктуре и техническому оснащению</w:t>
      </w:r>
    </w:p>
    <w:p>
      <w:pPr>
        <w:spacing w:after="120"/>
        <w:jc w:val="center"/>
      </w:pPr>
      <w:r>
        <w:rPr>
          <w:rFonts w:ascii="Arial" w:cs="Arial" w:eastAsia="Arial" w:hAnsi="Arial"/>
          <w:b w:val="false"/>
          <w:bCs w:val="false"/>
          <w:sz w:val="24"/>
          <w:szCs w:val="24"/>
        </w:rPr>
        <w:t xml:space="preserve">складов электронной торговли</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К инфраструктуре (обустройству) складов электронной торговли предъявляются следующие обязательные требования:</w:t>
      </w:r>
    </w:p>
    <w:p>
      <w:pPr>
        <w:spacing w:after="120"/>
        <w:jc w:val="both"/>
      </w:pPr>
      <w:r>
        <w:rPr>
          <w:rFonts w:ascii="Arial" w:cs="Arial" w:eastAsia="Arial" w:hAnsi="Arial"/>
          <w:sz w:val="24"/>
          <w:szCs w:val="24"/>
        </w:rPr>
        <w:t xml:space="preserve">1) наличие подъездных путей (в зависимости от вида транспорта);</w:t>
      </w:r>
    </w:p>
    <w:p>
      <w:pPr>
        <w:spacing w:after="120"/>
        <w:jc w:val="both"/>
      </w:pPr>
      <w:r>
        <w:rPr>
          <w:rFonts w:ascii="Arial" w:cs="Arial" w:eastAsia="Arial" w:hAnsi="Arial"/>
          <w:sz w:val="24"/>
          <w:szCs w:val="24"/>
        </w:rPr>
        <w:t xml:space="preserve">2) наличие складских помещений, оборудованных стеллажами и/или полками;</w:t>
      </w:r>
    </w:p>
    <w:p>
      <w:pPr>
        <w:spacing w:after="120"/>
        <w:jc w:val="both"/>
      </w:pPr>
      <w:r>
        <w:rPr>
          <w:rFonts w:ascii="Arial" w:cs="Arial" w:eastAsia="Arial" w:hAnsi="Arial"/>
          <w:sz w:val="24"/>
          <w:szCs w:val="24"/>
        </w:rPr>
        <w:t xml:space="preserve">3) наличие прилегаемой охраняемой территории, оборудованной для стоянки транспортных средств, перевозящих товары электронной торговли, на время, необходимое для совершения таможенных операций и проведения таможенного контроля;</w:t>
      </w:r>
    </w:p>
    <w:p>
      <w:pPr>
        <w:spacing w:after="120"/>
        <w:jc w:val="both"/>
      </w:pPr>
      <w:r>
        <w:rPr>
          <w:rFonts w:ascii="Arial" w:cs="Arial" w:eastAsia="Arial" w:hAnsi="Arial"/>
          <w:sz w:val="24"/>
          <w:szCs w:val="24"/>
        </w:rPr>
        <w:t xml:space="preserve">4) наличие обустроенного и специально приспособленного помещения, предназначенного для хранения товаров, которые могут причинить вред другим товарам или требующие особых условий хранения;</w:t>
      </w:r>
    </w:p>
    <w:p>
      <w:pPr>
        <w:spacing w:after="120"/>
        <w:jc w:val="both"/>
      </w:pPr>
      <w:r>
        <w:rPr>
          <w:rFonts w:ascii="Arial" w:cs="Arial" w:eastAsia="Arial" w:hAnsi="Arial"/>
          <w:sz w:val="24"/>
          <w:szCs w:val="24"/>
        </w:rPr>
        <w:t xml:space="preserve">5) наличие досмотровой рентгеновской техники, определяемой уполномоченным органом в сфере таможенного дела;</w:t>
      </w:r>
    </w:p>
    <w:p>
      <w:pPr>
        <w:spacing w:after="120"/>
        <w:jc w:val="both"/>
      </w:pPr>
      <w:r>
        <w:rPr>
          <w:rFonts w:ascii="Arial" w:cs="Arial" w:eastAsia="Arial" w:hAnsi="Arial"/>
          <w:sz w:val="24"/>
          <w:szCs w:val="24"/>
        </w:rPr>
        <w:t xml:space="preserve">6) наличие погрузочно-разгрузочной техники;</w:t>
      </w:r>
    </w:p>
    <w:p>
      <w:pPr>
        <w:spacing w:after="120"/>
        <w:jc w:val="both"/>
      </w:pPr>
      <w:r>
        <w:rPr>
          <w:rFonts w:ascii="Arial" w:cs="Arial" w:eastAsia="Arial" w:hAnsi="Arial"/>
          <w:sz w:val="24"/>
          <w:szCs w:val="24"/>
        </w:rPr>
        <w:t xml:space="preserve">7) наличие автоматизированной системы учета товаров, совместимой с программными продуктами, используемыми таможенными органами, оснащение соответствующими средствами защиты информации от несанкционированного доступа;</w:t>
      </w:r>
    </w:p>
    <w:p>
      <w:pPr>
        <w:spacing w:after="120"/>
        <w:jc w:val="both"/>
      </w:pPr>
      <w:r>
        <w:rPr>
          <w:rFonts w:ascii="Arial" w:cs="Arial" w:eastAsia="Arial" w:hAnsi="Arial"/>
          <w:sz w:val="24"/>
          <w:szCs w:val="24"/>
        </w:rPr>
        <w:t xml:space="preserve">8) наличие телефонной связи или IP-телефонии/мобильной связи, оргтехники и множительной техники, компьютеров с доступом к глобальной сети Интернет, наличие локальной сети в служебных помещениях;</w:t>
      </w:r>
    </w:p>
    <w:p>
      <w:pPr>
        <w:spacing w:after="120"/>
        <w:jc w:val="both"/>
      </w:pPr>
      <w:r>
        <w:rPr>
          <w:rFonts w:ascii="Arial" w:cs="Arial" w:eastAsia="Arial" w:hAnsi="Arial"/>
          <w:sz w:val="24"/>
          <w:szCs w:val="24"/>
        </w:rPr>
        <w:t xml:space="preserve">9) наличие альтернативного источника энергии для выработки электрического тока для обеспечения бесперебойного электроснабжения;</w:t>
      </w:r>
    </w:p>
    <w:p>
      <w:pPr>
        <w:spacing w:after="120"/>
        <w:jc w:val="both"/>
      </w:pPr>
      <w:r>
        <w:rPr>
          <w:rFonts w:ascii="Arial" w:cs="Arial" w:eastAsia="Arial" w:hAnsi="Arial"/>
          <w:sz w:val="24"/>
          <w:szCs w:val="24"/>
        </w:rPr>
        <w:t xml:space="preserve">10) наличие сертифицированного весового оборудования с различными пределами взвешивания, обеспечивающего возможность взвешивания для проведения таможенного контроля:</w:t>
      </w:r>
    </w:p>
    <w:p>
      <w:pPr>
        <w:spacing w:after="120"/>
        <w:jc w:val="both"/>
      </w:pPr>
      <w:r>
        <w:rPr>
          <w:rFonts w:ascii="Arial" w:cs="Arial" w:eastAsia="Arial" w:hAnsi="Arial"/>
          <w:sz w:val="24"/>
          <w:szCs w:val="24"/>
        </w:rPr>
        <w:t xml:space="preserve">– товаров;</w:t>
      </w:r>
    </w:p>
    <w:p>
      <w:pPr>
        <w:spacing w:after="120"/>
        <w:jc w:val="both"/>
      </w:pPr>
      <w:r>
        <w:rPr>
          <w:rFonts w:ascii="Arial" w:cs="Arial" w:eastAsia="Arial" w:hAnsi="Arial"/>
          <w:sz w:val="24"/>
          <w:szCs w:val="24"/>
        </w:rPr>
        <w:t xml:space="preserve">– транспортных средств;</w:t>
      </w:r>
    </w:p>
    <w:p>
      <w:pPr>
        <w:spacing w:after="120"/>
        <w:jc w:val="both"/>
      </w:pPr>
      <w:r>
        <w:rPr>
          <w:rFonts w:ascii="Arial" w:cs="Arial" w:eastAsia="Arial" w:hAnsi="Arial"/>
          <w:sz w:val="24"/>
          <w:szCs w:val="24"/>
        </w:rPr>
        <w:t xml:space="preserve">11)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30 календарных дней по всему периметру склада, внутри территории склада и административных помещениях, где расположены места совершения таможенных операций и места проведения таможенного контроля.</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Допускается учреждение склада электронной торговли в месте международного почтового обмена, расположенного на территории склада временного хранения.</w:t>
      </w:r>
    </w:p>
    <w:p>
      <w:pPr>
        <w:spacing w:after="120"/>
        <w:jc w:val="both"/>
      </w:pPr>
      <w:r>
        <w:rPr>
          <w:rFonts w:ascii="Arial" w:cs="Arial" w:eastAsia="Arial" w:hAnsi="Arial"/>
          <w:sz w:val="24"/>
          <w:szCs w:val="24"/>
        </w:rPr>
        <w:t xml:space="preserve">В данном случае в отношении склада электронной торговли не распространяются требования, предусмотренные пунктами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и подпунктами 1, 3–7, 9, 10 </w:t>
      </w:r>
      <w:r>
        <w:rPr>
          <w:rFonts w:ascii="Arial" w:cs="Arial" w:eastAsia="Arial" w:hAnsi="Arial"/>
          <w:sz w:val="24"/>
          <w:szCs w:val="24"/>
        </w:rPr>
        <w:t xml:space="preserve">пункта 14</w:t>
      </w:r>
      <w:r>
        <w:rPr>
          <w:rFonts w:ascii="Arial" w:cs="Arial" w:eastAsia="Arial" w:hAnsi="Arial"/>
          <w:sz w:val="24"/>
          <w:szCs w:val="24"/>
        </w:rPr>
        <w:t xml:space="preserve">1</w:t>
      </w:r>
      <w:r>
        <w:rPr>
          <w:rFonts w:ascii="Arial" w:cs="Arial" w:eastAsia="Arial" w:hAnsi="Arial"/>
          <w:sz w:val="24"/>
          <w:szCs w:val="24"/>
        </w:rPr>
        <w:t xml:space="preserve"> настоящих Требований.</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Допускается включение юридического лица в таможенный реестр операторов электронной торговли на основании решения Кабинета Министров Кыргызской Республики.</w:t>
      </w:r>
    </w:p>
    <w:p>
      <w:pPr>
        <w:spacing w:after="120"/>
        <w:jc w:val="both"/>
      </w:pPr>
      <w:r>
        <w:rPr>
          <w:rFonts w:ascii="Arial" w:cs="Arial" w:eastAsia="Arial" w:hAnsi="Arial"/>
          <w:sz w:val="24"/>
          <w:szCs w:val="24"/>
        </w:rPr>
        <w:t xml:space="preserve">В данном случае в отношении такого юридического лица при включении в реестр не распространяются требования, установленные </w:t>
      </w:r>
      <w:r>
        <w:rPr>
          <w:rFonts w:ascii="Arial" w:cs="Arial" w:eastAsia="Arial" w:hAnsi="Arial"/>
          <w:sz w:val="24"/>
          <w:szCs w:val="24"/>
        </w:rPr>
        <w:t xml:space="preserve">пунктом 14</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w:t>
      </w:r>
      <w:hyperlink w:history="1" r:id="rIdwc7oegrfwwag09wq_bag8">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создания и обозначения зон таможенного контроля, утвержденном вышеуказанным </w:t>
      </w:r>
      <w:hyperlink w:history="1" r:id="rIdds9zrplc81o3vujmt6y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3 </w:t>
      </w:r>
      <w:r>
        <w:rPr>
          <w:rFonts w:ascii="Arial" w:cs="Arial" w:eastAsia="Arial" w:hAnsi="Arial"/>
          <w:sz w:val="24"/>
          <w:szCs w:val="24"/>
        </w:rPr>
        <w:t xml:space="preserve">пункта 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территории складов временного хранения, таможенных складов, свободных складов, магазинов беспошлинной торговли и складов электронной торговли, принадлежащие юридическим лицам, которые включены в реестр для осуществления деятельности в области таможенного дела в качестве оператора электронной торговли, владельцев складов временного хранения, таможенных складов, свободных складов и магазинов беспошлинной торговли, в которых осуществляют свою деятельность таможенные органы, а также территории свободных экономических зон, где применяется таможенная процедура свободной таможенной зоны.»;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 Решение о создании временных зон таможенного контроля в местах, определенных </w:t>
      </w:r>
      <w:r>
        <w:rPr>
          <w:rFonts w:ascii="Arial" w:cs="Arial" w:eastAsia="Arial" w:hAnsi="Arial"/>
          <w:sz w:val="24"/>
          <w:szCs w:val="24"/>
        </w:rPr>
        <w:t xml:space="preserve">пунктом 5</w:t>
      </w:r>
      <w:r>
        <w:rPr>
          <w:rFonts w:ascii="Arial" w:cs="Arial" w:eastAsia="Arial" w:hAnsi="Arial"/>
          <w:sz w:val="24"/>
          <w:szCs w:val="24"/>
        </w:rPr>
        <w:t xml:space="preserve"> настоящего Порядка, принимает начальник таможенного органа, в регионе деятельности которого расположены места и территории, где создаются такие зоны таможенного контроля, на основании заявления заинтересованного лица.</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документы, подтверждающие владение помещениями или открытыми площадками (государственный акт о праве частной собственности на земельный участок, удостоверение на право временного пользования земельным участком, договор аренды и т.д.);</w:t>
      </w:r>
    </w:p>
    <w:p>
      <w:pPr>
        <w:spacing w:after="120"/>
        <w:jc w:val="both"/>
      </w:pPr>
      <w:r>
        <w:rPr>
          <w:rFonts w:ascii="Arial" w:cs="Arial" w:eastAsia="Arial" w:hAnsi="Arial"/>
          <w:sz w:val="24"/>
          <w:szCs w:val="24"/>
        </w:rPr>
        <w:t xml:space="preserve">– планы и чертежи предполагаемого места создания временной зоны таможенного контроля.</w:t>
      </w:r>
    </w:p>
    <w:p>
      <w:pPr>
        <w:spacing w:after="120"/>
        <w:jc w:val="both"/>
      </w:pPr>
      <w:r>
        <w:rPr>
          <w:rFonts w:ascii="Arial" w:cs="Arial" w:eastAsia="Arial" w:hAnsi="Arial"/>
          <w:sz w:val="24"/>
          <w:szCs w:val="24"/>
        </w:rPr>
        <w:t xml:space="preserve">Указанное решение оформляется приказом таможенного органа с указанием цели создания временной зоны таможенного контроля, места нахождения временной зоны таможенного контроля, срока действия, границы и мест ее пересечения с лицами, товарами, а также примененных средств обозначения.»;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«17. К инфраструктуре (обустройству) временной зоны таможенного контроля (далее – ВЗТК) предъявляются следующие обязательные требования (за исключением случаев размещения товаров на выставках, ярмарках и хранения товаров на иных сладах):</w:t>
      </w:r>
    </w:p>
    <w:p>
      <w:pPr>
        <w:spacing w:after="120"/>
        <w:jc w:val="both"/>
      </w:pPr>
      <w:r>
        <w:rPr>
          <w:rFonts w:ascii="Arial" w:cs="Arial" w:eastAsia="Arial" w:hAnsi="Arial"/>
          <w:sz w:val="24"/>
          <w:szCs w:val="24"/>
        </w:rPr>
        <w:t xml:space="preserve">1)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30 календарных дней по всему периметру и внутри ВЗТК;</w:t>
      </w:r>
    </w:p>
    <w:p>
      <w:pPr>
        <w:spacing w:after="120"/>
        <w:jc w:val="both"/>
      </w:pPr>
      <w:r>
        <w:rPr>
          <w:rFonts w:ascii="Arial" w:cs="Arial" w:eastAsia="Arial" w:hAnsi="Arial"/>
          <w:sz w:val="24"/>
          <w:szCs w:val="24"/>
        </w:rPr>
        <w:t xml:space="preserve">2) наличие системы учета товаров;</w:t>
      </w:r>
    </w:p>
    <w:p>
      <w:pPr>
        <w:spacing w:after="120"/>
        <w:jc w:val="both"/>
      </w:pPr>
      <w:r>
        <w:rPr>
          <w:rFonts w:ascii="Arial" w:cs="Arial" w:eastAsia="Arial" w:hAnsi="Arial"/>
          <w:sz w:val="24"/>
          <w:szCs w:val="24"/>
        </w:rPr>
        <w:t xml:space="preserve">3) наличие обозначенной, огражденной и охраняемой по всему периметру территории ВЗТК.»;</w:t>
      </w:r>
    </w:p>
    <w:p>
      <w:pPr>
        <w:spacing w:after="120"/>
        <w:jc w:val="both"/>
      </w:pPr>
      <w:r>
        <w:rPr>
          <w:rFonts w:ascii="Arial" w:cs="Arial" w:eastAsia="Arial" w:hAnsi="Arial"/>
          <w:sz w:val="24"/>
          <w:szCs w:val="24"/>
        </w:rPr>
        <w:t xml:space="preserve">10) в </w:t>
      </w:r>
      <w:r>
        <w:rPr>
          <w:rFonts w:ascii="Arial" w:cs="Arial" w:eastAsia="Arial" w:hAnsi="Arial"/>
          <w:sz w:val="24"/>
          <w:szCs w:val="24"/>
        </w:rPr>
        <w:t xml:space="preserve">формах таможенных документов</w:t>
      </w:r>
      <w:r>
        <w:rPr>
          <w:rFonts w:ascii="Arial" w:cs="Arial" w:eastAsia="Arial" w:hAnsi="Arial"/>
          <w:sz w:val="24"/>
          <w:szCs w:val="24"/>
        </w:rPr>
        <w:t xml:space="preserve">, утвержденных вышеуказанным </w:t>
      </w:r>
      <w:hyperlink w:history="1" r:id="rIdofmltzpj4ukle08-ulk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формами «Н», «О» и «З» в редакции согласно приложениям </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 </w:t>
      </w:r>
      <w:hyperlink w:history="1" r:id="rIdlsvrsijtihxpuir9bucqz">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проведения таможенных проверок, утвержденном вышеуказанным </w:t>
      </w:r>
      <w:hyperlink w:history="1" r:id="rIdvve5ghm9t5zqkijv9ia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«Специализированные подразделения должны быть независимы от других структурных подразделений уполномоченного государственного органа в сфере таможенного дела в планировании своей работы, выполнении таможенных проверок и подготовке отчетов по таможенным проверкам.»;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4</w:t>
      </w:r>
      <w:r>
        <w:rPr>
          <w:rFonts w:ascii="Arial" w:cs="Arial" w:eastAsia="Arial" w:hAnsi="Arial"/>
          <w:sz w:val="24"/>
          <w:szCs w:val="24"/>
        </w:rPr>
        <w:t xml:space="preserve"> дополнить подпунктом 8 следующего содержания:</w:t>
      </w:r>
    </w:p>
    <w:p>
      <w:pPr>
        <w:spacing w:after="120"/>
        <w:jc w:val="both"/>
      </w:pPr>
      <w:r>
        <w:rPr>
          <w:rFonts w:ascii="Arial" w:cs="Arial" w:eastAsia="Arial" w:hAnsi="Arial"/>
          <w:sz w:val="24"/>
          <w:szCs w:val="24"/>
        </w:rPr>
        <w:t xml:space="preserve">«8) таможенные проверки могут проводиться с использованием дистанционных технологий, если это не препятствует достижению целей таможенной проверки.»;</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пунктом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Должностные лица специализированных подразделений при проведении таможенной проверки обязаны соблюдать правила поведения служащего, установленные </w:t>
      </w:r>
      <w:hyperlink w:history="1" r:id="rId5oxm5lics7mzvez-2lki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этики государственных гражданских служащих и муниципальных служащих Кыргызской Республики, утвержденным </w:t>
      </w:r>
      <w:hyperlink w:history="1" r:id="rIdo7re3w-ruuy7udpys_ra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i097ugz9_dkpxhg3zq1s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этики государственных гражданских служащих и муниципальных служащих Кыргызской Республики» от 31 мая 2022 года № 171.»;</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17</w:t>
      </w:r>
      <w:r>
        <w:rPr>
          <w:rFonts w:ascii="Arial" w:cs="Arial" w:eastAsia="Arial" w:hAnsi="Arial"/>
          <w:sz w:val="24"/>
          <w:szCs w:val="24"/>
        </w:rPr>
        <w:t xml:space="preserve"> слова «пунктами 1 и 2» заменить словами «пунктом 1»;</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«18. Таможенный орган не уведомляет проверяемое лицо о проведении камеральной таможенной проверки.»;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дополнить </w:t>
      </w:r>
      <w:r>
        <w:rPr>
          <w:rFonts w:ascii="Arial" w:cs="Arial" w:eastAsia="Arial" w:hAnsi="Arial"/>
          <w:sz w:val="24"/>
          <w:szCs w:val="24"/>
        </w:rPr>
        <w:t xml:space="preserve">пунктом 21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Выездная таможенная проверка может назначаться по результатам применения иных форм таможенного контроля, а также по результатам камеральной таможенной проверки.»;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23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«Перед началом проведения выездной таможенной проверки на объекте проверяемого лица должностные лица специализированных подразделений обязаны предъявить руководителю проверяемого лица либо его представителю служебные удостоверения, а также ознакомить его с правами и обязанностями проверяемого лица при проведении таможенной проверки.»;</w:t>
      </w:r>
    </w:p>
    <w:p>
      <w:pPr>
        <w:spacing w:after="120"/>
        <w:jc w:val="both"/>
      </w:pPr>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«В случае принятия решения о внесении изменений (дополнений) путем заполнения дополнительных листов к предписанию проверяемому лицу в течение 3 рабочих дней со дня принятия такого решения направляется письменное уведомление, подписанное руководителем уполномоченного государственного органа в сфере таможенного дела или его заместителем.»;</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пунктом 24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Перед началом проведения выездной таможенной проверки должностные лица специализированных подразделений направляют проверяемому лицу уведомление о проведении плановой выездной таможенной проверки заказным почтовым отправлением с уведомлением о вручении или передают такое уведомление иным способом, позволяющим подтвердить факт его получения.</w:t>
      </w:r>
    </w:p>
    <w:p>
      <w:pPr>
        <w:spacing w:after="120"/>
        <w:jc w:val="both"/>
      </w:pPr>
      <w:r>
        <w:rPr>
          <w:rFonts w:ascii="Arial" w:cs="Arial" w:eastAsia="Arial" w:hAnsi="Arial"/>
          <w:sz w:val="24"/>
          <w:szCs w:val="24"/>
        </w:rPr>
        <w:t xml:space="preserve">При возврате почтового отправления с отметкой, свидетельствующей об отсутствии лица по месту государственной регистрации, должностное лицо, проводящее проверку, информирует об этом налоговый орган, в котором зарегистрировано проверяемое лицо.</w:t>
      </w:r>
    </w:p>
    <w:p>
      <w:pPr>
        <w:spacing w:after="120"/>
        <w:jc w:val="both"/>
      </w:pPr>
      <w:r>
        <w:rPr>
          <w:rFonts w:ascii="Arial" w:cs="Arial" w:eastAsia="Arial" w:hAnsi="Arial"/>
          <w:sz w:val="24"/>
          <w:szCs w:val="24"/>
        </w:rPr>
        <w:t xml:space="preserve">Возврат почтового отправления с отметкой, свидетельствующей о невручении письма адресату в связи с отсутствием проверяемого лица по месту нахождения, является основанием для отнесения лица к категории риска в рамках СУР, но не является основанием для прекращения или отмены плановой выездной таможенной проверки.»;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25</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«Плановые выездные таможенные проверки в отношении проверяемых лиц проводятся не чаще одного раза в 2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«27. Плановая выездная таможенная проверка может быть начата не ранее чем через 10 календарных дней, но не позднее 30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«29. Внеплановые таможенные проверки осуществляются без ограничений периодичности их проведения.</w:t>
      </w:r>
    </w:p>
    <w:p>
      <w:pPr>
        <w:spacing w:after="120"/>
        <w:jc w:val="both"/>
      </w:pPr>
      <w:r>
        <w:rPr>
          <w:rFonts w:ascii="Arial" w:cs="Arial" w:eastAsia="Arial" w:hAnsi="Arial"/>
          <w:sz w:val="24"/>
          <w:szCs w:val="24"/>
        </w:rPr>
        <w:t xml:space="preserve">Внеплановая выездная таможенная проверка, встречная внеплановая выездная таможенная проверка или выездная таможенная перепроверка может быть начата не ранее чем через 5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 письма адресату, за исключением случаев, когда немедленное проведение проверки необходимо для предотвращения таможенных правонарушений. В этом случае предписание о проведении таможенной проверки вручается в день начала проверки.»;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«35. При необходимости проведения исследований или экспертиз, принятия таможенным органом решения о классификации товара, направления запросов в компетентные органы государств – членов Евразийского экономического союза или иностранных государств, восстановления проверяемым лицом документов, необходимых для проведения проверки, представления дополнительных документов, относящихся к проверяемому периоду, влияющих на выводы результатов проверки, проведения встречной выездной таможенной проверки, проведение проверки приостанавливается по решению руководителя уполномоченного государственного органа в сфере таможенного дела или его заместителя.</w:t>
      </w:r>
    </w:p>
    <w:p>
      <w:pPr>
        <w:spacing w:after="120"/>
        <w:jc w:val="both"/>
      </w:pPr>
      <w:r>
        <w:rPr>
          <w:rFonts w:ascii="Arial" w:cs="Arial" w:eastAsia="Arial" w:hAnsi="Arial"/>
          <w:sz w:val="24"/>
          <w:szCs w:val="24"/>
        </w:rPr>
        <w:t xml:space="preserve">В случае принятия решения, предусмотренного абзацем первым настоящего пункта, проведение проверки приостанавливается на срок проведения встречной выездной таможенной проверки, исследований или экспертиз, принятия таможенным органом решения о классификации товара, представления ответов на запросы компетентных органов государств – членов Евразийского экономического союза или иностранных государств, восстановления проверяемым лицом документов, необходимых для проведения проверки, представления проверяемым лицом дополнительных документов, запрошенных для проведения проверки.»;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38</w:t>
      </w:r>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в названии </w:t>
      </w:r>
      <w:r>
        <w:rPr>
          <w:rFonts w:ascii="Arial" w:cs="Arial" w:eastAsia="Arial" w:hAnsi="Arial"/>
          <w:sz w:val="24"/>
          <w:szCs w:val="24"/>
        </w:rPr>
        <w:t xml:space="preserve">главы 6</w:t>
      </w:r>
      <w:r>
        <w:rPr>
          <w:rFonts w:ascii="Arial" w:cs="Arial" w:eastAsia="Arial" w:hAnsi="Arial"/>
          <w:sz w:val="24"/>
          <w:szCs w:val="24"/>
        </w:rPr>
        <w:t xml:space="preserve"> слово «выездной» исключить;</w:t>
      </w:r>
    </w:p>
    <w:p>
      <w:pPr>
        <w:spacing w:after="120"/>
        <w:jc w:val="both"/>
      </w:pPr>
      <w:r>
        <w:rPr>
          <w:rFonts w:ascii="Arial" w:cs="Arial" w:eastAsia="Arial" w:hAnsi="Arial"/>
          <w:sz w:val="24"/>
          <w:szCs w:val="24"/>
        </w:rPr>
        <w:t xml:space="preserve">– пункты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«46. Результаты проведения камеральной и выездной таможенной проверки оформляются должностными лицами специализированных подразделений соответственно актом камеральной таможенной проверки и актом выездной таможенной проверки (далее – акт таможенной проверки) в виде документа на бумажном носителе или электронного документа по форме согласно приложению </w:t>
      </w:r>
      <w:r>
        <w:rPr>
          <w:rFonts w:ascii="Arial" w:cs="Arial" w:eastAsia="Arial" w:hAnsi="Arial"/>
          <w:sz w:val="24"/>
          <w:szCs w:val="24"/>
        </w:rPr>
        <w:t xml:space="preserve">3</w:t>
      </w:r>
      <w:r>
        <w:rPr>
          <w:rFonts w:ascii="Arial" w:cs="Arial" w:eastAsia="Arial" w:hAnsi="Arial"/>
          <w:sz w:val="24"/>
          <w:szCs w:val="24"/>
        </w:rPr>
        <w:t xml:space="preserve"> и 3</w:t>
      </w:r>
      <w:r>
        <w:rPr>
          <w:rFonts w:ascii="Arial" w:cs="Arial" w:eastAsia="Arial" w:hAnsi="Arial"/>
          <w:sz w:val="24"/>
          <w:szCs w:val="24"/>
        </w:rPr>
        <w:t xml:space="preserve">1</w:t>
      </w:r>
      <w:r>
        <w:rPr>
          <w:rFonts w:ascii="Arial" w:cs="Arial" w:eastAsia="Arial" w:hAnsi="Arial"/>
          <w:sz w:val="24"/>
          <w:szCs w:val="24"/>
        </w:rPr>
        <w:t xml:space="preserve"> к настоящему Порядку. Акт таможенной проверки в виде документа на бумажном носителе составляется в двух экземплярах.</w:t>
      </w:r>
    </w:p>
    <w:p>
      <w:pPr>
        <w:spacing w:after="120"/>
        <w:jc w:val="both"/>
      </w:pPr>
      <w:r>
        <w:rPr>
          <w:rFonts w:ascii="Arial" w:cs="Arial" w:eastAsia="Arial" w:hAnsi="Arial"/>
          <w:sz w:val="24"/>
          <w:szCs w:val="24"/>
        </w:rPr>
        <w:t xml:space="preserve">47. Датой завершения таможенной проверки считается дата составления акта таможенной проверки, оформленного по результатам таможенной проверки, и подписываемого должностными лицами, проводившими таможенную проверку, и проверяемым лицом.</w:t>
      </w:r>
    </w:p>
    <w:p>
      <w:pPr>
        <w:spacing w:after="120"/>
        <w:jc w:val="both"/>
      </w:pPr>
      <w:r>
        <w:rPr>
          <w:rFonts w:ascii="Arial" w:cs="Arial" w:eastAsia="Arial" w:hAnsi="Arial"/>
          <w:sz w:val="24"/>
          <w:szCs w:val="24"/>
        </w:rPr>
        <w:t xml:space="preserve">Первый экземпляр акта таможенной проверки приобщается к материалам таможенной проверки, второй экземпляр не позднее пяти рабочих дней с даты завершения таможенной проверки вручается проверяемому лицу (его представителю) или направляется в его адрес заказным почтовым отправлением с уведомлением о вручении. В случае уклонения проверяемого лица (его представителя) от получения акта таможенной проверки об этом делается соответствующая запись в акте таможенной проверки и направляется заказным почтовым отправлением с уведомлением о вручении.</w:t>
      </w:r>
    </w:p>
    <w:p>
      <w:pPr>
        <w:spacing w:after="120"/>
        <w:jc w:val="both"/>
      </w:pPr>
      <w:r>
        <w:rPr>
          <w:rFonts w:ascii="Arial" w:cs="Arial" w:eastAsia="Arial" w:hAnsi="Arial"/>
          <w:sz w:val="24"/>
          <w:szCs w:val="24"/>
        </w:rPr>
        <w:t xml:space="preserve">В случае если таможенная проверка проводится на основании поручения других государственных контролирующих органов Кыргызской Республики, акт таможенной проверки составляется в трех экземплярах, где третий экземпляр акта направляется инициатору таможенной проверки.»;</w:t>
      </w:r>
    </w:p>
    <w:p>
      <w:pPr>
        <w:spacing w:after="120"/>
        <w:jc w:val="both"/>
      </w:pPr>
      <w:r>
        <w:rPr>
          <w:rFonts w:ascii="Arial" w:cs="Arial" w:eastAsia="Arial" w:hAnsi="Arial"/>
          <w:sz w:val="24"/>
          <w:szCs w:val="24"/>
        </w:rPr>
        <w:t xml:space="preserve">– пункты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«51. В случае если по результатам таможенной проверки были выявлены нарушения международных договоров, актов в сфере таможенного регулирования, законодательства Кыргызской Республики в сфере таможенного дела, повлиявшие на обязанности по уплате таможенных платежей, налогов, в акте таможенной проверки отражаются сведения о предполагаемых суммах таможенных пошлин, налогов, специальных, антидемпинговых, компенсационных пошлин, подлежащих дополнительному исчислению и уплате (взысканию) и направляется уведомление о неуплаченных в установленный срок суммах таможенных платежей проверяемому лицу (его представителю) согласно законодательству Кыргызской Республики в сфере таможенного дела.</w:t>
      </w:r>
    </w:p>
    <w:p>
      <w:pPr>
        <w:spacing w:after="120"/>
        <w:jc w:val="both"/>
      </w:pPr>
      <w:r>
        <w:rPr>
          <w:rFonts w:ascii="Arial" w:cs="Arial" w:eastAsia="Arial" w:hAnsi="Arial"/>
          <w:sz w:val="24"/>
          <w:szCs w:val="24"/>
        </w:rPr>
        <w:t xml:space="preserve">52. В случае если по результатам таможенной проверки были выявлены нарушения международных договоров, актов в сфере таможенного регулирования, законодательства Кыргызской Республики в сфере таможенного дела, не повлиявшие на обязанности по уплате таможенных платежей, налогов, выставляется требование об устранении нарушений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Требование об устранении нарушений вручается или направляется проверяемому лицу одновременно с актом таможенной проверки.</w:t>
      </w:r>
    </w:p>
    <w:p>
      <w:pPr>
        <w:spacing w:after="120"/>
        <w:jc w:val="both"/>
      </w:pPr>
      <w:r>
        <w:rPr>
          <w:rFonts w:ascii="Arial" w:cs="Arial" w:eastAsia="Arial" w:hAnsi="Arial"/>
          <w:sz w:val="24"/>
          <w:szCs w:val="24"/>
        </w:rPr>
        <w:t xml:space="preserve">Срок исполнения требования об устранении нарушений составляет не более 30 календарных дней со дня, следующего за днем вручения требования проверяемому лицу.</w:t>
      </w:r>
    </w:p>
    <w:p>
      <w:pPr>
        <w:spacing w:after="120"/>
        <w:jc w:val="both"/>
      </w:pPr>
      <w:r>
        <w:rPr>
          <w:rFonts w:ascii="Arial" w:cs="Arial" w:eastAsia="Arial" w:hAnsi="Arial"/>
          <w:sz w:val="24"/>
          <w:szCs w:val="24"/>
        </w:rPr>
        <w:t xml:space="preserve">В случае неисполнения проверяемым лицом требования об устранении нарушений материалы таможенной проверки направляются в правоохранительные подразделения уполномоченного государственного органа в сфере таможенного дела, что является основанием для отнесения лица к категории риска, не соблюдающего требования международных договоров, актов в сфере таможенного регулирования, законодательства Кыргызской Республики в сфере таможенного дела в рамках СУР.».</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w:t>
      </w:r>
      <w:hyperlink w:history="1" r:id="rIdbpldcdpy0frpignwoav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w:t>
      </w:r>
    </w:p>
    <w:p>
      <w:pPr>
        <w:spacing w:after="120"/>
        <w:jc w:val="both"/>
      </w:pPr>
      <w:r>
        <w:rPr>
          <w:rFonts w:ascii="Arial" w:cs="Arial" w:eastAsia="Arial" w:hAnsi="Arial"/>
          <w:sz w:val="24"/>
          <w:szCs w:val="24"/>
        </w:rPr>
        <w:t xml:space="preserve">2) </w:t>
      </w:r>
      <w:hyperlink w:history="1" r:id="rId2ezuitlvhawid3znexn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от 27 апреля 2017 года № 246;</w:t>
      </w:r>
    </w:p>
    <w:p>
      <w:pPr>
        <w:spacing w:after="120"/>
        <w:jc w:val="both"/>
      </w:pPr>
      <w:r>
        <w:rPr>
          <w:rFonts w:ascii="Arial" w:cs="Arial" w:eastAsia="Arial" w:hAnsi="Arial"/>
          <w:sz w:val="24"/>
          <w:szCs w:val="24"/>
        </w:rPr>
        <w:t xml:space="preserve">3) </w:t>
      </w:r>
      <w:hyperlink w:history="1" r:id="rIdcnzemr1p3ujhcjrjhhu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от 30 марта 2017 года № 190.</w:t>
      </w:r>
    </w:p>
    <w:p>
      <w:pPr>
        <w:spacing w:after="120"/>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со дня вступления в силу Протокола о внесении изменений в Договор о Таможенном кодексе Евразийского экономического союза от 11 апреля 2017 года, подписанного 25 декабря 2023 года в городе Санкт-Петербурге, за исключением абзаца четырнадцатого подпункта 4 пункта 1, который вступает в силу с 3 июля 2024 года.</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30 июня 2026 года № 48 (3808)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оформления результатов проверки таможенных, иных</w:t>
      </w:r>
    </w:p>
    <w:p>
      <w:pPr>
        <w:spacing w:after="120"/>
        <w:jc w:val="center"/>
      </w:pPr>
      <w:r>
        <w:rPr>
          <w:rFonts w:ascii="Arial" w:cs="Arial" w:eastAsia="Arial" w:hAnsi="Arial"/>
          <w:b/>
          <w:bCs/>
          <w:sz w:val="24"/>
          <w:szCs w:val="24"/>
        </w:rPr>
        <w:t xml:space="preserve">документов и (или)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со статьей 326 Таможенного кодекса Евразийского экономического союза, </w:t>
      </w:r>
      <w:r>
        <w:rPr>
          <w:rFonts w:ascii="Arial" w:cs="Arial" w:eastAsia="Arial" w:hAnsi="Arial"/>
          <w:sz w:val="24"/>
          <w:szCs w:val="24"/>
        </w:rPr>
        <w:t xml:space="preserve">статьей 129</w:t>
      </w:r>
      <w:r>
        <w:rPr>
          <w:rFonts w:ascii="Arial" w:cs="Arial" w:eastAsia="Arial" w:hAnsi="Arial"/>
          <w:sz w:val="24"/>
          <w:szCs w:val="24"/>
        </w:rPr>
        <w:t xml:space="preserve"> Закона Кыргызской Республики «О таможенном регулировании» и определяет правила оформления и направления таможенными органами Кыргызской Республики (далее – таможенные органы) участникам внешнеэкономической деятельности (далее – проверяемое лицо) уведомления о завершении проверки таможенных, иных документов и (или) сведений (далее – Уведомление).</w:t>
      </w:r>
    </w:p>
    <w:p>
      <w:pPr>
        <w:spacing w:after="120"/>
        <w:jc w:val="both"/>
      </w:pPr>
      <w:r>
        <w:rPr>
          <w:rFonts w:ascii="Arial" w:cs="Arial" w:eastAsia="Arial" w:hAnsi="Arial"/>
          <w:sz w:val="24"/>
          <w:szCs w:val="24"/>
        </w:rPr>
        <w:t xml:space="preserve">2. Результаты проведения проверки таможенных, иных документов и (или) сведений оформляются в виде Уведомления по форме, утверждаемой решением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3. Уведомление оформляется по результатам проведения проверки таможенных, иных документов и (или) сведений, проводимой таможенными органами в рамках таможенного контроля.</w:t>
      </w:r>
    </w:p>
    <w:p>
      <w:pPr>
        <w:spacing w:after="120"/>
        <w:jc w:val="both"/>
      </w:pPr>
      <w:r>
        <w:rPr>
          <w:rFonts w:ascii="Arial" w:cs="Arial" w:eastAsia="Arial" w:hAnsi="Arial"/>
          <w:sz w:val="24"/>
          <w:szCs w:val="24"/>
        </w:rPr>
        <w:t xml:space="preserve">4. Таможенный орган, проводивший проверку, обязан оформить и направить Уведомление проверяемому лицу в следующие сроки:</w:t>
      </w:r>
    </w:p>
    <w:p>
      <w:pPr>
        <w:spacing w:after="120"/>
        <w:jc w:val="both"/>
      </w:pPr>
      <w:r>
        <w:rPr>
          <w:rFonts w:ascii="Arial" w:cs="Arial" w:eastAsia="Arial" w:hAnsi="Arial"/>
          <w:sz w:val="24"/>
          <w:szCs w:val="24"/>
        </w:rPr>
        <w:t xml:space="preserve">– не позднее одного рабочего дня, следующего за днем принятия решения о выпуске товаров, в случае если проверка проводилась до выпуска товаров в рамках продления срока выпуска (статья 325 Таможенного кодекса Евразийского экономического союза);</w:t>
      </w:r>
    </w:p>
    <w:p>
      <w:pPr>
        <w:spacing w:after="120"/>
        <w:jc w:val="both"/>
      </w:pPr>
      <w:r>
        <w:rPr>
          <w:rFonts w:ascii="Arial" w:cs="Arial" w:eastAsia="Arial" w:hAnsi="Arial"/>
          <w:sz w:val="24"/>
          <w:szCs w:val="24"/>
        </w:rPr>
        <w:t xml:space="preserve">– не позднее трех рабочих дней, следующих за днем оформления соответствующего документа, фиксирующего результаты проверки, в случае если проверка проводилась после выпуска товаров.</w:t>
      </w:r>
    </w:p>
    <w:p>
      <w:pPr>
        <w:spacing w:after="120"/>
        <w:jc w:val="both"/>
      </w:pPr>
      <w:r>
        <w:rPr>
          <w:rFonts w:ascii="Arial" w:cs="Arial" w:eastAsia="Arial" w:hAnsi="Arial"/>
          <w:sz w:val="24"/>
          <w:szCs w:val="24"/>
        </w:rPr>
        <w:t xml:space="preserve">5. Уведомление направляется проверяемому лицу одним из следующих способов:</w:t>
      </w:r>
    </w:p>
    <w:p>
      <w:pPr>
        <w:spacing w:after="120"/>
        <w:jc w:val="both"/>
      </w:pPr>
      <w:r>
        <w:rPr>
          <w:rFonts w:ascii="Arial" w:cs="Arial" w:eastAsia="Arial" w:hAnsi="Arial"/>
          <w:sz w:val="24"/>
          <w:szCs w:val="24"/>
        </w:rPr>
        <w:t xml:space="preserve">1) приоритетный способ (электронный документооборот) – в виде электронного документа, подписанного электронной подписью уполномоченного должностного лица через информационные системы таможенных органов;</w:t>
      </w:r>
    </w:p>
    <w:p>
      <w:pPr>
        <w:spacing w:after="120"/>
        <w:jc w:val="both"/>
      </w:pPr>
      <w:r>
        <w:rPr>
          <w:rFonts w:ascii="Arial" w:cs="Arial" w:eastAsia="Arial" w:hAnsi="Arial"/>
          <w:sz w:val="24"/>
          <w:szCs w:val="24"/>
        </w:rPr>
        <w:t xml:space="preserve">2) дополнительный способ на (бумажном носителе):</w:t>
      </w:r>
    </w:p>
    <w:p>
      <w:pPr>
        <w:spacing w:after="120"/>
        <w:jc w:val="both"/>
      </w:pPr>
      <w:r>
        <w:rPr>
          <w:rFonts w:ascii="Arial" w:cs="Arial" w:eastAsia="Arial" w:hAnsi="Arial"/>
          <w:sz w:val="24"/>
          <w:szCs w:val="24"/>
        </w:rPr>
        <w:t xml:space="preserve">– вручается руководителю проверяемого лица или его уполномоченному представителю лично под расписку (с приложением документа, подтверждающего полномочия);</w:t>
      </w:r>
    </w:p>
    <w:p>
      <w:pPr>
        <w:spacing w:after="120"/>
        <w:jc w:val="both"/>
      </w:pPr>
      <w:r>
        <w:rPr>
          <w:rFonts w:ascii="Arial" w:cs="Arial" w:eastAsia="Arial" w:hAnsi="Arial"/>
          <w:sz w:val="24"/>
          <w:szCs w:val="24"/>
        </w:rPr>
        <w:t xml:space="preserve">– заказным почтовым отправлением с указанием адресата получателя и уведомлением о вручении (в случае отсутствия технической возможности направления электронного документа или невозможности вручения лично).</w:t>
      </w:r>
    </w:p>
    <w:p>
      <w:pPr>
        <w:spacing w:after="120"/>
        <w:jc w:val="both"/>
      </w:pPr>
      <w:r>
        <w:rPr>
          <w:rFonts w:ascii="Arial" w:cs="Arial" w:eastAsia="Arial" w:hAnsi="Arial"/>
          <w:sz w:val="24"/>
          <w:szCs w:val="24"/>
        </w:rPr>
        <w:t xml:space="preserve">В случае направления Уведомления в электронном виде, его дублирование на бумажном носителе не требуется,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6. Датой получения Уведомления считается:</w:t>
      </w:r>
    </w:p>
    <w:p>
      <w:pPr>
        <w:spacing w:after="120"/>
        <w:jc w:val="both"/>
      </w:pPr>
      <w:r>
        <w:rPr>
          <w:rFonts w:ascii="Arial" w:cs="Arial" w:eastAsia="Arial" w:hAnsi="Arial"/>
          <w:sz w:val="24"/>
          <w:szCs w:val="24"/>
        </w:rPr>
        <w:t xml:space="preserve">– дата, зафиксированная в информационной системе таможенных органов, подтверждающая доставку электронного документа в личный кабинет (информационный ресурс) проверяемого лица;</w:t>
      </w:r>
    </w:p>
    <w:p>
      <w:pPr>
        <w:spacing w:after="120"/>
        <w:jc w:val="both"/>
      </w:pPr>
      <w:r>
        <w:rPr>
          <w:rFonts w:ascii="Arial" w:cs="Arial" w:eastAsia="Arial" w:hAnsi="Arial"/>
          <w:sz w:val="24"/>
          <w:szCs w:val="24"/>
        </w:rPr>
        <w:t xml:space="preserve">– дата проставления личной подписи уполномоченного представителя проверяемого лица на копии Уведомления, которая остается в делах таможенного органа;</w:t>
      </w:r>
    </w:p>
    <w:p>
      <w:pPr>
        <w:spacing w:after="120"/>
        <w:jc w:val="both"/>
      </w:pPr>
      <w:r>
        <w:rPr>
          <w:rFonts w:ascii="Arial" w:cs="Arial" w:eastAsia="Arial" w:hAnsi="Arial"/>
          <w:sz w:val="24"/>
          <w:szCs w:val="24"/>
        </w:rPr>
        <w:t xml:space="preserve">– дата, указанная в уведомлении о вручении почтового отправления.</w:t>
      </w:r>
    </w:p>
    <w:p>
      <w:pPr>
        <w:spacing w:after="120"/>
        <w:jc w:val="both"/>
      </w:pPr>
      <w:r>
        <w:rPr>
          <w:rFonts w:ascii="Arial" w:cs="Arial" w:eastAsia="Arial" w:hAnsi="Arial"/>
          <w:sz w:val="24"/>
          <w:szCs w:val="24"/>
        </w:rPr>
        <w:t xml:space="preserve">В случае если проверяемое лицо уклоняется от получения Уведомления или не явилось за его получением, несмотря на надлежащее извещение, Уведомление считается полученным в дату, указанную в соответствующем акте либо в день проставления отметки почтовой службы об отказе/неявке.</w:t>
      </w:r>
    </w:p>
    <w:p>
      <w:pPr>
        <w:spacing w:after="120"/>
        <w:jc w:val="both"/>
      </w:pPr>
      <w:r>
        <w:rPr>
          <w:rFonts w:ascii="Arial" w:cs="Arial" w:eastAsia="Arial" w:hAnsi="Arial"/>
          <w:sz w:val="24"/>
          <w:szCs w:val="24"/>
        </w:rPr>
        <w:t xml:space="preserve">7. Контроль за соблюдением сроков и порядка направления Уведомления возлагается на руководителей структурных подразделений таможенных органов, проводивших проверку.</w:t>
      </w:r>
    </w:p>
    <w:p>
      <w:pPr>
        <w:spacing w:after="120"/>
        <w:jc w:val="both"/>
      </w:pPr>
      <w:r>
        <w:rPr>
          <w:rFonts w:ascii="Arial" w:cs="Arial" w:eastAsia="Arial" w:hAnsi="Arial"/>
          <w:sz w:val="24"/>
          <w:szCs w:val="24"/>
        </w:rPr>
        <w:t xml:space="preserve">8. Должностные лица таможенных органов несут ответственность за несоблюдение настоящего Порядка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признания таможенным органом факта уничтожения и</w:t>
      </w:r>
    </w:p>
    <w:p>
      <w:pPr>
        <w:spacing w:after="120"/>
        <w:jc w:val="center"/>
      </w:pPr>
      <w:r>
        <w:rPr>
          <w:rFonts w:ascii="Arial" w:cs="Arial" w:eastAsia="Arial" w:hAnsi="Arial"/>
          <w:b/>
          <w:bCs/>
          <w:sz w:val="24"/>
          <w:szCs w:val="24"/>
        </w:rPr>
        <w:t xml:space="preserve">(или) безвозвратной утраты товаров вследствие</w:t>
      </w:r>
    </w:p>
    <w:p>
      <w:pPr>
        <w:spacing w:after="120"/>
        <w:jc w:val="center"/>
      </w:pPr>
      <w:r>
        <w:rPr>
          <w:rFonts w:ascii="Arial" w:cs="Arial" w:eastAsia="Arial" w:hAnsi="Arial"/>
          <w:b/>
          <w:bCs/>
          <w:sz w:val="24"/>
          <w:szCs w:val="24"/>
        </w:rPr>
        <w:t xml:space="preserve">аварии или действия непреодолимой силы либо факта</w:t>
      </w:r>
    </w:p>
    <w:p>
      <w:pPr>
        <w:spacing w:after="120"/>
        <w:jc w:val="center"/>
      </w:pPr>
      <w:r>
        <w:rPr>
          <w:rFonts w:ascii="Arial" w:cs="Arial" w:eastAsia="Arial" w:hAnsi="Arial"/>
          <w:b/>
          <w:bCs/>
          <w:sz w:val="24"/>
          <w:szCs w:val="24"/>
        </w:rPr>
        <w:t xml:space="preserve">безвозвратной утраты товаров в результате</w:t>
      </w:r>
    </w:p>
    <w:p>
      <w:pPr>
        <w:spacing w:after="120"/>
        <w:jc w:val="center"/>
      </w:pPr>
      <w:r>
        <w:rPr>
          <w:rFonts w:ascii="Arial" w:cs="Arial" w:eastAsia="Arial" w:hAnsi="Arial"/>
          <w:b/>
          <w:bCs/>
          <w:sz w:val="24"/>
          <w:szCs w:val="24"/>
        </w:rPr>
        <w:t xml:space="preserve">естественной убыли при нормальных условиях</w:t>
      </w:r>
    </w:p>
    <w:p>
      <w:pPr>
        <w:spacing w:after="120"/>
        <w:jc w:val="center"/>
      </w:pPr>
      <w:r>
        <w:rPr>
          <w:rFonts w:ascii="Arial" w:cs="Arial" w:eastAsia="Arial" w:hAnsi="Arial"/>
          <w:b/>
          <w:bCs/>
          <w:sz w:val="24"/>
          <w:szCs w:val="24"/>
        </w:rPr>
        <w:t xml:space="preserve">перевозки (транспортировки) и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признания таможенным органом факта:</w:t>
      </w:r>
    </w:p>
    <w:p>
      <w:pPr>
        <w:spacing w:after="120"/>
        <w:jc w:val="both"/>
      </w:pPr>
      <w:r>
        <w:rPr>
          <w:rFonts w:ascii="Arial" w:cs="Arial" w:eastAsia="Arial" w:hAnsi="Arial"/>
          <w:sz w:val="24"/>
          <w:szCs w:val="24"/>
        </w:rPr>
        <w:t xml:space="preserve">а) уничтожения и (или) безвозвратной утраты товаров вследствие аварии, действия непреодолимой силы, то есть чрезвычайных (стихийные бедствия, эпидемии, эпизоотии и иные обстоятельства, носящие чрезвычайный характер) и непредотвратимых обстоятельств с образованием или без образования в результате полного уничтожения товаров веществ (частей товаров), не имеющих определенного функционального предназначения и полностью утративших свои потребительские свойства;</w:t>
      </w:r>
    </w:p>
    <w:p>
      <w:pPr>
        <w:spacing w:after="120"/>
        <w:jc w:val="both"/>
      </w:pPr>
      <w:r>
        <w:rPr>
          <w:rFonts w:ascii="Arial" w:cs="Arial" w:eastAsia="Arial" w:hAnsi="Arial"/>
          <w:sz w:val="24"/>
          <w:szCs w:val="24"/>
        </w:rPr>
        <w:t xml:space="preserve">б) безвозвратной утраты товаров в результате естественной убыли при нормальных условиях перевозки (транспортировки) и (или) хранения.</w:t>
      </w:r>
    </w:p>
    <w:p>
      <w:pPr>
        <w:spacing w:after="120"/>
        <w:jc w:val="both"/>
      </w:pPr>
      <w:r>
        <w:rPr>
          <w:rFonts w:ascii="Arial" w:cs="Arial" w:eastAsia="Arial" w:hAnsi="Arial"/>
          <w:sz w:val="24"/>
          <w:szCs w:val="24"/>
        </w:rPr>
        <w:t xml:space="preserve">2. При наступлении событий, указанных в подпунктах а) и б)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 товары признаются уничтоженными и (или) безвозвратно утраченными по инициативе декларанта или иного лица, обладающего полномочиями в отношении таких товаров.</w:t>
      </w:r>
    </w:p>
    <w:p>
      <w:pPr>
        <w:spacing w:after="120"/>
        <w:jc w:val="both"/>
      </w:pPr>
      <w:r>
        <w:rPr>
          <w:rFonts w:ascii="Arial" w:cs="Arial" w:eastAsia="Arial" w:hAnsi="Arial"/>
          <w:sz w:val="24"/>
          <w:szCs w:val="24"/>
        </w:rPr>
        <w:t xml:space="preserve">3. Для признания товаров уничтоженными и (или) безвозвратно утраченными вследствие наступления событий, указанных в подпункте а)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 в таможенный орган (далее – таможня фактического контроля), в регионе деятельности которого произошли события, повлекшие уничтожение и (или) безвозвратную утрату товаров, декларантом или иным лицом, обладающим полномочиями в отношении товаров, представляется уведомление о признании факта уничтожения и (или) безвозвратной утраты товаров (далее – Уведомление об уничтожении товаров) в виде документа, составленного в произвольной форме, на бумажном носителе или в электронной форме. </w:t>
      </w:r>
    </w:p>
    <w:p>
      <w:pPr>
        <w:spacing w:after="120"/>
        <w:jc w:val="both"/>
      </w:pPr>
      <w:r>
        <w:rPr>
          <w:rFonts w:ascii="Arial" w:cs="Arial" w:eastAsia="Arial" w:hAnsi="Arial"/>
          <w:sz w:val="24"/>
          <w:szCs w:val="24"/>
        </w:rPr>
        <w:t xml:space="preserve">4. Уведомление об уничтожении товаров должно содержать следующие сведения:</w:t>
      </w:r>
    </w:p>
    <w:p>
      <w:pPr>
        <w:spacing w:after="120"/>
        <w:jc w:val="both"/>
      </w:pPr>
      <w:r>
        <w:rPr>
          <w:rFonts w:ascii="Arial" w:cs="Arial" w:eastAsia="Arial" w:hAnsi="Arial"/>
          <w:sz w:val="24"/>
          <w:szCs w:val="24"/>
        </w:rPr>
        <w:t xml:space="preserve">1) о декларанте или (ином лице, обладающем полномочиями в отношении таких товаров):</w:t>
      </w:r>
    </w:p>
    <w:p>
      <w:pPr>
        <w:spacing w:after="120"/>
        <w:jc w:val="both"/>
      </w:pPr>
      <w:r>
        <w:rPr>
          <w:rFonts w:ascii="Arial" w:cs="Arial" w:eastAsia="Arial" w:hAnsi="Arial"/>
          <w:sz w:val="24"/>
          <w:szCs w:val="24"/>
        </w:rPr>
        <w:t xml:space="preserve">– наименование и место нахождения юридического лица;</w:t>
      </w:r>
    </w:p>
    <w:p>
      <w:pPr>
        <w:spacing w:after="120"/>
        <w:jc w:val="both"/>
      </w:pPr>
      <w:r>
        <w:rPr>
          <w:rFonts w:ascii="Arial" w:cs="Arial" w:eastAsia="Arial" w:hAnsi="Arial"/>
          <w:sz w:val="24"/>
          <w:szCs w:val="24"/>
        </w:rPr>
        <w:t xml:space="preserve">– идентификационный номер налогоплательщика;</w:t>
      </w:r>
    </w:p>
    <w:p>
      <w:pPr>
        <w:spacing w:after="120"/>
        <w:jc w:val="both"/>
      </w:pPr>
      <w:r>
        <w:rPr>
          <w:rFonts w:ascii="Arial" w:cs="Arial" w:eastAsia="Arial" w:hAnsi="Arial"/>
          <w:sz w:val="24"/>
          <w:szCs w:val="24"/>
        </w:rPr>
        <w:t xml:space="preserve">– фамилия, имя, отчество (при наличии), место жительства – для индивидуального предпринимателя;</w:t>
      </w:r>
    </w:p>
    <w:p>
      <w:pPr>
        <w:spacing w:after="120"/>
        <w:jc w:val="both"/>
      </w:pPr>
      <w:r>
        <w:rPr>
          <w:rFonts w:ascii="Arial" w:cs="Arial" w:eastAsia="Arial" w:hAnsi="Arial"/>
          <w:sz w:val="24"/>
          <w:szCs w:val="24"/>
        </w:rPr>
        <w:t xml:space="preserve">– фамилия, имя, отчество (при наличии), место жительства (место пребывания) – для физического лица, не являющегося индивидуальным предпринимателем;</w:t>
      </w:r>
    </w:p>
    <w:p>
      <w:pPr>
        <w:spacing w:after="120"/>
        <w:jc w:val="both"/>
      </w:pPr>
      <w:r>
        <w:rPr>
          <w:rFonts w:ascii="Arial" w:cs="Arial" w:eastAsia="Arial" w:hAnsi="Arial"/>
          <w:sz w:val="24"/>
          <w:szCs w:val="24"/>
        </w:rPr>
        <w:t xml:space="preserve">– копии документов, удостоверяющего личность, – для физических лиц и индивидуальных предпринимателей;</w:t>
      </w:r>
    </w:p>
    <w:p>
      <w:pPr>
        <w:spacing w:after="120"/>
        <w:jc w:val="both"/>
      </w:pPr>
      <w:r>
        <w:rPr>
          <w:rFonts w:ascii="Arial" w:cs="Arial" w:eastAsia="Arial" w:hAnsi="Arial"/>
          <w:sz w:val="24"/>
          <w:szCs w:val="24"/>
        </w:rPr>
        <w:t xml:space="preserve">– адрес электронной почты (при наличии), контактный телефон;</w:t>
      </w:r>
    </w:p>
    <w:p>
      <w:pPr>
        <w:spacing w:after="120"/>
        <w:jc w:val="both"/>
      </w:pPr>
      <w:r>
        <w:rPr>
          <w:rFonts w:ascii="Arial" w:cs="Arial" w:eastAsia="Arial" w:hAnsi="Arial"/>
          <w:sz w:val="24"/>
          <w:szCs w:val="24"/>
        </w:rPr>
        <w:t xml:space="preserve">2) об уничтоженных и (или) безвозвратно утраченных товарах:</w:t>
      </w:r>
    </w:p>
    <w:p>
      <w:pPr>
        <w:spacing w:after="120"/>
        <w:jc w:val="both"/>
      </w:pPr>
      <w:r>
        <w:rPr>
          <w:rFonts w:ascii="Arial" w:cs="Arial" w:eastAsia="Arial" w:hAnsi="Arial"/>
          <w:sz w:val="24"/>
          <w:szCs w:val="24"/>
        </w:rPr>
        <w:t xml:space="preserve">– наименование, описание, содержащие индивидуальные признаки, позволяющие идентифицировать товар;</w:t>
      </w:r>
    </w:p>
    <w:p>
      <w:pPr>
        <w:spacing w:after="120"/>
        <w:jc w:val="both"/>
      </w:pPr>
      <w:r>
        <w:rPr>
          <w:rFonts w:ascii="Arial" w:cs="Arial" w:eastAsia="Arial" w:hAnsi="Arial"/>
          <w:sz w:val="24"/>
          <w:szCs w:val="24"/>
        </w:rPr>
        <w:t xml:space="preserve">– вес брутто, вес нетто, количество в дополнительных единицах (при наличии);</w:t>
      </w:r>
    </w:p>
    <w:p>
      <w:pPr>
        <w:spacing w:after="120"/>
        <w:jc w:val="both"/>
      </w:pPr>
      <w:r>
        <w:rPr>
          <w:rFonts w:ascii="Arial" w:cs="Arial" w:eastAsia="Arial" w:hAnsi="Arial"/>
          <w:sz w:val="24"/>
          <w:szCs w:val="24"/>
        </w:rPr>
        <w:t xml:space="preserve">– сведения о стоимости в соответствии с коммерческими и (или) товаросопроводительными документами;</w:t>
      </w:r>
    </w:p>
    <w:p>
      <w:pPr>
        <w:spacing w:after="120"/>
        <w:jc w:val="both"/>
      </w:pPr>
      <w:r>
        <w:rPr>
          <w:rFonts w:ascii="Arial" w:cs="Arial" w:eastAsia="Arial" w:hAnsi="Arial"/>
          <w:sz w:val="24"/>
          <w:szCs w:val="24"/>
        </w:rPr>
        <w:t xml:space="preserve">– сведения о таможенной стоимости в случаях, предусмотренных пунктами 2 и 4 статьи 38 Таможенного кодекса Евразийского экономического союза;</w:t>
      </w:r>
    </w:p>
    <w:p>
      <w:pPr>
        <w:spacing w:after="120"/>
        <w:jc w:val="both"/>
      </w:pPr>
      <w:r>
        <w:rPr>
          <w:rFonts w:ascii="Arial" w:cs="Arial" w:eastAsia="Arial" w:hAnsi="Arial"/>
          <w:sz w:val="24"/>
          <w:szCs w:val="24"/>
        </w:rPr>
        <w:t xml:space="preserve">– код товара в соответствии с единой Товарной номенклатурой внешнеэкономической деятельности Евразийского экономического союза;</w:t>
      </w:r>
    </w:p>
    <w:p>
      <w:pPr>
        <w:spacing w:after="120"/>
        <w:jc w:val="both"/>
      </w:pPr>
      <w:r>
        <w:rPr>
          <w:rFonts w:ascii="Arial" w:cs="Arial" w:eastAsia="Arial" w:hAnsi="Arial"/>
          <w:sz w:val="24"/>
          <w:szCs w:val="24"/>
        </w:rPr>
        <w:t xml:space="preserve">– сведения о маркировке подакцизных товаров (серия, номера акцизных и (или) специальных марок), количество акцизных и (или) специальных марок, за исключением товаров для личного пользования;</w:t>
      </w:r>
    </w:p>
    <w:p>
      <w:pPr>
        <w:spacing w:after="120"/>
        <w:jc w:val="both"/>
      </w:pPr>
      <w:r>
        <w:rPr>
          <w:rFonts w:ascii="Arial" w:cs="Arial" w:eastAsia="Arial" w:hAnsi="Arial"/>
          <w:sz w:val="24"/>
          <w:szCs w:val="24"/>
        </w:rPr>
        <w:t xml:space="preserve">– сведения о средствах идентификации маркированных товаров согласно Перечню отдельных товаров, подлежащих обязательной маркировке в целях налогообложения на территории Кыргызской Республики, и сроках введения обязательной маркировки, утвержденному </w:t>
      </w:r>
      <w:hyperlink w:history="1" r:id="rIdpl8lut0stgdhckcrwt9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вопросах маркировки отдельных товаров в Кыргызской Республике» от 18 октября 2022 года № 570;</w:t>
      </w:r>
    </w:p>
    <w:p>
      <w:pPr>
        <w:spacing w:after="120"/>
        <w:jc w:val="both"/>
      </w:pPr>
      <w:r>
        <w:rPr>
          <w:rFonts w:ascii="Arial" w:cs="Arial" w:eastAsia="Arial" w:hAnsi="Arial"/>
          <w:sz w:val="24"/>
          <w:szCs w:val="24"/>
        </w:rPr>
        <w:t xml:space="preserve">3) сведения о регистрационном номере таможенной декларации либо иного документа, свидетельствующего о совершении таможенных операций либо проведении таможенного контроля в отношении товаров (в том числе об уникальном номере международного почтового отправления);</w:t>
      </w:r>
    </w:p>
    <w:p>
      <w:pPr>
        <w:spacing w:after="120"/>
        <w:jc w:val="both"/>
      </w:pPr>
      <w:r>
        <w:rPr>
          <w:rFonts w:ascii="Arial" w:cs="Arial" w:eastAsia="Arial" w:hAnsi="Arial"/>
          <w:sz w:val="24"/>
          <w:szCs w:val="24"/>
        </w:rPr>
        <w:t xml:space="preserve">4) сведения об обстоятельствах, при которых товары были уничтожены и (или) безвозвратно утрачены.</w:t>
      </w:r>
    </w:p>
    <w:p>
      <w:pPr>
        <w:spacing w:after="120"/>
        <w:jc w:val="both"/>
      </w:pPr>
      <w:r>
        <w:rPr>
          <w:rFonts w:ascii="Arial" w:cs="Arial" w:eastAsia="Arial" w:hAnsi="Arial"/>
          <w:sz w:val="24"/>
          <w:szCs w:val="24"/>
        </w:rPr>
        <w:t xml:space="preserve">5. Подача Уведомления об уничтожении товаров сопровождается представлением:</w:t>
      </w:r>
    </w:p>
    <w:p>
      <w:pPr>
        <w:spacing w:after="120"/>
        <w:jc w:val="both"/>
      </w:pPr>
      <w:r>
        <w:rPr>
          <w:rFonts w:ascii="Arial" w:cs="Arial" w:eastAsia="Arial" w:hAnsi="Arial"/>
          <w:sz w:val="24"/>
          <w:szCs w:val="24"/>
        </w:rPr>
        <w:t xml:space="preserve">– документов, подтверждающих наличие обстоятельств, повлекших уничтожение и (или) безвозвратную утрату товаров, выданных уполномоченным государственным органом;</w:t>
      </w:r>
    </w:p>
    <w:p>
      <w:pPr>
        <w:spacing w:after="120"/>
        <w:jc w:val="both"/>
      </w:pPr>
      <w:r>
        <w:rPr>
          <w:rFonts w:ascii="Arial" w:cs="Arial" w:eastAsia="Arial" w:hAnsi="Arial"/>
          <w:sz w:val="24"/>
          <w:szCs w:val="24"/>
        </w:rPr>
        <w:t xml:space="preserve">– бухгалтерского учета в соответствии с законодательством Кыргызской Республики о бухгалтерском учете и законодательством Кыргызской Республики о налогах и сборах в отношении товаров, указанных в Уведомлении об уничтожении товаров; </w:t>
      </w:r>
    </w:p>
    <w:p>
      <w:pPr>
        <w:spacing w:after="120"/>
        <w:jc w:val="both"/>
      </w:pPr>
      <w:r>
        <w:rPr>
          <w:rFonts w:ascii="Arial" w:cs="Arial" w:eastAsia="Arial" w:hAnsi="Arial"/>
          <w:sz w:val="24"/>
          <w:szCs w:val="24"/>
        </w:rPr>
        <w:t xml:space="preserve">– документов, свидетельствующих невозможность проведения ремонта поврежденного товара либо о превышении стоимости ремонта по отношению к стоимости данного товара на момент аварии или действия непреодолимой силы, либо о равенстве этих стоимостей, выданных органом (организацией), уполномоченным на проведение соответствующей экспертизы, в случае образования в результате полного уничтожения товаров, веществ (частей товаров), не имеющих определенного функционального предназначения и полностью утративших свои потребительские свойства;</w:t>
      </w:r>
    </w:p>
    <w:p>
      <w:pPr>
        <w:spacing w:after="120"/>
        <w:jc w:val="both"/>
      </w:pPr>
      <w:r>
        <w:rPr>
          <w:rFonts w:ascii="Arial" w:cs="Arial" w:eastAsia="Arial" w:hAnsi="Arial"/>
          <w:sz w:val="24"/>
          <w:szCs w:val="24"/>
        </w:rPr>
        <w:t xml:space="preserve">– документов, заменяющих полномочия таможенного представителя при представлении Уведомления об уничтожении товаров таможенным представителем, действующим от имени и по поручению декларанта или иного лица, обладающего полномочиями в отношении товаров.</w:t>
      </w:r>
    </w:p>
    <w:p>
      <w:pPr>
        <w:spacing w:after="120"/>
        <w:jc w:val="both"/>
      </w:pPr>
      <w:r>
        <w:rPr>
          <w:rFonts w:ascii="Arial" w:cs="Arial" w:eastAsia="Arial" w:hAnsi="Arial"/>
          <w:sz w:val="24"/>
          <w:szCs w:val="24"/>
        </w:rPr>
        <w:t xml:space="preserve">6. Для признания товаров безвозвратно утраченными в соответствии с </w:t>
      </w:r>
      <w:r>
        <w:rPr>
          <w:rFonts w:ascii="Arial" w:cs="Arial" w:eastAsia="Arial" w:hAnsi="Arial"/>
          <w:sz w:val="24"/>
          <w:szCs w:val="24"/>
        </w:rPr>
        <w:t xml:space="preserve">пунктом 2</w:t>
      </w:r>
      <w:r>
        <w:rPr>
          <w:rFonts w:ascii="Arial" w:cs="Arial" w:eastAsia="Arial" w:hAnsi="Arial"/>
          <w:sz w:val="24"/>
          <w:szCs w:val="24"/>
        </w:rPr>
        <w:t xml:space="preserve"> настоящего Порядка вследствие наступления событий, указанных в подпункте б)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 в таможню фактического контроля, в регионе деятельности которой произошли события, повлекшие безвозвратную утрату товаров, декларантом или иным лицом, обладающим полномочиями в отношении товаров, представляется уведомление о признании факта безвозвратной утраты товаров в результате естественной убыли при нормальных условиях перевозки (транспортировки) и (или) хранения (далее – Уведомление о естественной убыли товаров) в виде документа на бумажном носителе или в электронной форме, составленного в произвольной форме, содержащего следующие сведения:</w:t>
      </w:r>
    </w:p>
    <w:p>
      <w:pPr>
        <w:spacing w:after="120"/>
        <w:jc w:val="both"/>
      </w:pPr>
      <w:r>
        <w:rPr>
          <w:rFonts w:ascii="Arial" w:cs="Arial" w:eastAsia="Arial" w:hAnsi="Arial"/>
          <w:sz w:val="24"/>
          <w:szCs w:val="24"/>
        </w:rPr>
        <w:t xml:space="preserve">1) предусмотренные подпунктами 1–3 </w:t>
      </w:r>
      <w:r>
        <w:rPr>
          <w:rFonts w:ascii="Arial" w:cs="Arial" w:eastAsia="Arial" w:hAnsi="Arial"/>
          <w:sz w:val="24"/>
          <w:szCs w:val="24"/>
        </w:rPr>
        <w:t xml:space="preserve">пункта 4</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об обстоятельствах, при которых товары были безвозвратно утрачены в результате естественной убыли при нормальных условиях перевозки (транспортировки) и (или) хранения, в том числе о виде транспорта и маршруте следования – для товаров, безвозвратно утраченных в результате естественной убыли при нормальных условиях перевозки (транспортировки), либо о месте и времени хранения – для товаров, безвозвратно утраченных в результате естественной убыли при нормальных условиях хранения.</w:t>
      </w:r>
    </w:p>
    <w:p>
      <w:pPr>
        <w:spacing w:after="120"/>
        <w:jc w:val="both"/>
      </w:pPr>
      <w:r>
        <w:rPr>
          <w:rFonts w:ascii="Arial" w:cs="Arial" w:eastAsia="Arial" w:hAnsi="Arial"/>
          <w:sz w:val="24"/>
          <w:szCs w:val="24"/>
        </w:rPr>
        <w:t xml:space="preserve">7. Уведомление подается в таможенный орган фактического контроля в срок не позднее 15 рабочих дней со дня наступления обстоятельств, указанных в подпунктах а) и б)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8. Документы, указанные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 представляются на бумажном носителе в виде оригиналов или копий, заверенных лицом, их представившим и (или) в электронной форме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Таможня фактического контроля вправе запросить у Торгово-промышленной палаты Кыргызской Республики (ее территориальных подразделений), а также у уполномоченных в соответствии с законодательством Кыргызской Республики государственных органов в сфере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 безопасности дорожного движения или иной сфере деятельности либо у уполномоченных экспертных и (или) страховых органов (организаций) информацию о подтверждении фактов наступления событий, повлекших уничтожение и (или) безвозвратную утрату товаров.</w:t>
      </w:r>
    </w:p>
    <w:p>
      <w:pPr>
        <w:spacing w:after="120"/>
        <w:jc w:val="both"/>
      </w:pPr>
      <w:r>
        <w:rPr>
          <w:rFonts w:ascii="Arial" w:cs="Arial" w:eastAsia="Arial" w:hAnsi="Arial"/>
          <w:sz w:val="24"/>
          <w:szCs w:val="24"/>
        </w:rPr>
        <w:t xml:space="preserve">10. При поступлении Уведомления об уничтожении товаров или Уведомления о естественной убыли товаров таможня фактического контроля в течение 30 календарных дней со дня поступления такого уведомления осуществляет проверку представленных документов и сведений и принимает решение о признании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либо об отказе в признании таких фактов (далее при совместном упоминании – Решение).</w:t>
      </w:r>
    </w:p>
    <w:p>
      <w:pPr>
        <w:spacing w:after="120"/>
        <w:jc w:val="both"/>
      </w:pPr>
      <w:r>
        <w:rPr>
          <w:rFonts w:ascii="Arial" w:cs="Arial" w:eastAsia="Arial" w:hAnsi="Arial"/>
          <w:sz w:val="24"/>
          <w:szCs w:val="24"/>
        </w:rPr>
        <w:t xml:space="preserve">В случае установления в ходе проверки представленных документов и сведений, предусмотренной абзацем первым настоящего пункта, отсутствия и (или) несоответствия сведений и документов, установленных подпунктами 1–4 </w:t>
      </w:r>
      <w:r>
        <w:rPr>
          <w:rFonts w:ascii="Arial" w:cs="Arial" w:eastAsia="Arial" w:hAnsi="Arial"/>
          <w:sz w:val="24"/>
          <w:szCs w:val="24"/>
        </w:rPr>
        <w:t xml:space="preserve">пункта 4</w:t>
      </w:r>
      <w:r>
        <w:rPr>
          <w:rFonts w:ascii="Arial" w:cs="Arial" w:eastAsia="Arial" w:hAnsi="Arial"/>
          <w:sz w:val="24"/>
          <w:szCs w:val="24"/>
        </w:rPr>
        <w:t xml:space="preserve">, </w:t>
      </w:r>
      <w:r>
        <w:rPr>
          <w:rFonts w:ascii="Arial" w:cs="Arial" w:eastAsia="Arial" w:hAnsi="Arial"/>
          <w:sz w:val="24"/>
          <w:szCs w:val="24"/>
        </w:rPr>
        <w:t xml:space="preserve">пунктом 5</w:t>
      </w:r>
      <w:r>
        <w:rPr>
          <w:rFonts w:ascii="Arial" w:cs="Arial" w:eastAsia="Arial" w:hAnsi="Arial"/>
          <w:sz w:val="24"/>
          <w:szCs w:val="24"/>
        </w:rPr>
        <w:t xml:space="preserve"> настоящего Порядка, либо подпунктами 1–2 </w:t>
      </w:r>
      <w:r>
        <w:rPr>
          <w:rFonts w:ascii="Arial" w:cs="Arial" w:eastAsia="Arial" w:hAnsi="Arial"/>
          <w:sz w:val="24"/>
          <w:szCs w:val="24"/>
        </w:rPr>
        <w:t xml:space="preserve">пункта 6</w:t>
      </w:r>
      <w:r>
        <w:rPr>
          <w:rFonts w:ascii="Arial" w:cs="Arial" w:eastAsia="Arial" w:hAnsi="Arial"/>
          <w:sz w:val="24"/>
          <w:szCs w:val="24"/>
        </w:rPr>
        <w:t xml:space="preserve"> настоящего Порядка таможня фактического контроля в пределах срока, установленного абзацем первым настоящего пункта, письмом за подписью начальника или лица, его замещающего, запрашивает у лица, подавшего Уведомление об уничтожении товаров или Уведомление о естественной убыли товаров, отсутствующие сведения и (или) документы, а также письменные пояснения в целях устранения выявленных несоответствий (далее – Запрос).</w:t>
      </w:r>
    </w:p>
    <w:p>
      <w:pPr>
        <w:spacing w:after="120"/>
        <w:jc w:val="both"/>
      </w:pPr>
      <w:r>
        <w:rPr>
          <w:rFonts w:ascii="Arial" w:cs="Arial" w:eastAsia="Arial" w:hAnsi="Arial"/>
          <w:sz w:val="24"/>
          <w:szCs w:val="24"/>
        </w:rPr>
        <w:t xml:space="preserve">Запрос направляется по почте заказным письмом с уведомлением о вручении.</w:t>
      </w:r>
    </w:p>
    <w:p>
      <w:pPr>
        <w:spacing w:after="120"/>
        <w:jc w:val="both"/>
      </w:pPr>
      <w:r>
        <w:rPr>
          <w:rFonts w:ascii="Arial" w:cs="Arial" w:eastAsia="Arial" w:hAnsi="Arial"/>
          <w:sz w:val="24"/>
          <w:szCs w:val="24"/>
        </w:rPr>
        <w:t xml:space="preserve">При направлении Запроса Решение принимается таможней фактического контроля не позднее 10 календарных дней со дня поступления от лица, подавшего Уведомление об уничтожении товаров или Уведомление о естественной убыли товаров, запрошенных в соответствии с настоящим пунктом, документов и (или) сведений, а также письменных пояснений в целях устранения выявленных несоответствий либо после дня истечения срока, установленного абзацем четвертым настоящего пункта, при непоступлении таковых.</w:t>
      </w:r>
    </w:p>
    <w:p>
      <w:pPr>
        <w:spacing w:after="120"/>
        <w:jc w:val="both"/>
      </w:pPr>
      <w:r>
        <w:rPr>
          <w:rFonts w:ascii="Arial" w:cs="Arial" w:eastAsia="Arial" w:hAnsi="Arial"/>
          <w:sz w:val="24"/>
          <w:szCs w:val="24"/>
        </w:rPr>
        <w:t xml:space="preserve">11. Таможня фактического контроля отказывает в признании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в случае:</w:t>
      </w:r>
    </w:p>
    <w:p>
      <w:pPr>
        <w:spacing w:after="120"/>
        <w:jc w:val="both"/>
      </w:pPr>
      <w:r>
        <w:rPr>
          <w:rFonts w:ascii="Arial" w:cs="Arial" w:eastAsia="Arial" w:hAnsi="Arial"/>
          <w:sz w:val="24"/>
          <w:szCs w:val="24"/>
        </w:rPr>
        <w:t xml:space="preserve">1) отсутствия и (или) несоответствия сведений и документов, предусмотренных подпунктами 1–4 </w:t>
      </w:r>
      <w:r>
        <w:rPr>
          <w:rFonts w:ascii="Arial" w:cs="Arial" w:eastAsia="Arial" w:hAnsi="Arial"/>
          <w:sz w:val="24"/>
          <w:szCs w:val="24"/>
        </w:rPr>
        <w:t xml:space="preserve">пункта 4</w:t>
      </w:r>
      <w:r>
        <w:rPr>
          <w:rFonts w:ascii="Arial" w:cs="Arial" w:eastAsia="Arial" w:hAnsi="Arial"/>
          <w:sz w:val="24"/>
          <w:szCs w:val="24"/>
        </w:rPr>
        <w:t xml:space="preserve">, </w:t>
      </w:r>
      <w:r>
        <w:rPr>
          <w:rFonts w:ascii="Arial" w:cs="Arial" w:eastAsia="Arial" w:hAnsi="Arial"/>
          <w:sz w:val="24"/>
          <w:szCs w:val="24"/>
        </w:rPr>
        <w:t xml:space="preserve">пунктом 5</w:t>
      </w:r>
      <w:r>
        <w:rPr>
          <w:rFonts w:ascii="Arial" w:cs="Arial" w:eastAsia="Arial" w:hAnsi="Arial"/>
          <w:sz w:val="24"/>
          <w:szCs w:val="24"/>
        </w:rPr>
        <w:t xml:space="preserve"> настоящего Порядка, либо подпунктами 1–2 </w:t>
      </w:r>
      <w:r>
        <w:rPr>
          <w:rFonts w:ascii="Arial" w:cs="Arial" w:eastAsia="Arial" w:hAnsi="Arial"/>
          <w:sz w:val="24"/>
          <w:szCs w:val="24"/>
        </w:rPr>
        <w:t xml:space="preserve">пункта 6</w:t>
      </w:r>
      <w:r>
        <w:rPr>
          <w:rFonts w:ascii="Arial" w:cs="Arial" w:eastAsia="Arial" w:hAnsi="Arial"/>
          <w:sz w:val="24"/>
          <w:szCs w:val="24"/>
        </w:rPr>
        <w:t xml:space="preserve"> настоящего Порядка по результатам направления Запроса в соответствии с </w:t>
      </w:r>
      <w:r>
        <w:rPr>
          <w:rFonts w:ascii="Arial" w:cs="Arial" w:eastAsia="Arial" w:hAnsi="Arial"/>
          <w:sz w:val="24"/>
          <w:szCs w:val="24"/>
        </w:rPr>
        <w:t xml:space="preserve">пунктом 10</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подачи Уведомления об уничтожении товаров или Уведомления о естественной убыли товаров в таможенный орган, отличный от указанного в пунктах </w:t>
      </w:r>
      <w:r>
        <w:rPr>
          <w:rFonts w:ascii="Arial" w:cs="Arial" w:eastAsia="Arial" w:hAnsi="Arial"/>
          <w:sz w:val="24"/>
          <w:szCs w:val="24"/>
        </w:rPr>
        <w:t xml:space="preserve">3</w:t>
      </w:r>
      <w:r>
        <w:rPr>
          <w:rFonts w:ascii="Arial" w:cs="Arial" w:eastAsia="Arial" w:hAnsi="Arial"/>
          <w:sz w:val="24"/>
          <w:szCs w:val="24"/>
        </w:rPr>
        <w:t xml:space="preserve"> или </w:t>
      </w:r>
      <w:r>
        <w:rPr>
          <w:rFonts w:ascii="Arial" w:cs="Arial" w:eastAsia="Arial" w:hAnsi="Arial"/>
          <w:sz w:val="24"/>
          <w:szCs w:val="24"/>
        </w:rPr>
        <w:t xml:space="preserve">6</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3) получения ответа на Запрос, предусмотренный </w:t>
      </w:r>
      <w:r>
        <w:rPr>
          <w:rFonts w:ascii="Arial" w:cs="Arial" w:eastAsia="Arial" w:hAnsi="Arial"/>
          <w:sz w:val="24"/>
          <w:szCs w:val="24"/>
        </w:rPr>
        <w:t xml:space="preserve">пунктом 8</w:t>
      </w:r>
      <w:r>
        <w:rPr>
          <w:rFonts w:ascii="Arial" w:cs="Arial" w:eastAsia="Arial" w:hAnsi="Arial"/>
          <w:sz w:val="24"/>
          <w:szCs w:val="24"/>
        </w:rPr>
        <w:t xml:space="preserve"> настоящего Порядка, содержащего информацию о неподтверждении фактов наступления событий, повлекших уничтожение и (или) безвозвратную утрату товаров; </w:t>
      </w:r>
    </w:p>
    <w:p>
      <w:pPr>
        <w:spacing w:after="120"/>
        <w:jc w:val="both"/>
      </w:pPr>
      <w:r>
        <w:rPr>
          <w:rFonts w:ascii="Arial" w:cs="Arial" w:eastAsia="Arial" w:hAnsi="Arial"/>
          <w:sz w:val="24"/>
          <w:szCs w:val="24"/>
        </w:rPr>
        <w:t xml:space="preserve">4) несоответствия количества безвозвратно утраченных товаров в результате естественной убыли при нормальных условиях перевозки (транспортировки) и (или) хранения нормам естественной убыли таких товаров и документально заявленным сведениям.</w:t>
      </w:r>
    </w:p>
    <w:p>
      <w:pPr>
        <w:spacing w:after="120"/>
        <w:jc w:val="both"/>
      </w:pPr>
      <w:r>
        <w:rPr>
          <w:rFonts w:ascii="Arial" w:cs="Arial" w:eastAsia="Arial" w:hAnsi="Arial"/>
          <w:sz w:val="24"/>
          <w:szCs w:val="24"/>
        </w:rPr>
        <w:t xml:space="preserve">12. Таможня фактического контроля направляет принятое Решение лицу, подавшему Уведомление об уничтожении товаров или Уведомление о естественной убыли товаров, а также таможенному органу, в котором был осуществлен выпуск товаров, не позднее одного рабочего дня, следующего за днем принятия Решения. </w:t>
      </w:r>
    </w:p>
    <w:p>
      <w:pPr>
        <w:spacing w:after="120"/>
        <w:jc w:val="both"/>
      </w:pPr>
      <w:r>
        <w:rPr>
          <w:rFonts w:ascii="Arial" w:cs="Arial" w:eastAsia="Arial" w:hAnsi="Arial"/>
          <w:sz w:val="24"/>
          <w:szCs w:val="24"/>
        </w:rPr>
        <w:t xml:space="preserve">Решение направляется письмом таможни фактического контроля за подписью начальника таможни или лица, его замещающего, и должно содержать:</w:t>
      </w:r>
    </w:p>
    <w:p>
      <w:pPr>
        <w:spacing w:after="120"/>
        <w:jc w:val="both"/>
      </w:pPr>
      <w:r>
        <w:rPr>
          <w:rFonts w:ascii="Arial" w:cs="Arial" w:eastAsia="Arial" w:hAnsi="Arial"/>
          <w:sz w:val="24"/>
          <w:szCs w:val="24"/>
        </w:rPr>
        <w:t xml:space="preserve">1) сведения, предусмотренные подпунктами 2 и 3 </w:t>
      </w:r>
      <w:r>
        <w:rPr>
          <w:rFonts w:ascii="Arial" w:cs="Arial" w:eastAsia="Arial" w:hAnsi="Arial"/>
          <w:sz w:val="24"/>
          <w:szCs w:val="24"/>
        </w:rPr>
        <w:t xml:space="preserve">пункта 4</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основания для принятия Решения, предусмотренного </w:t>
      </w:r>
      <w:r>
        <w:rPr>
          <w:rFonts w:ascii="Arial" w:cs="Arial" w:eastAsia="Arial" w:hAnsi="Arial"/>
          <w:sz w:val="24"/>
          <w:szCs w:val="24"/>
        </w:rPr>
        <w:t xml:space="preserve">пунктом 10</w:t>
      </w:r>
      <w:r>
        <w:rPr>
          <w:rFonts w:ascii="Arial" w:cs="Arial" w:eastAsia="Arial" w:hAnsi="Arial"/>
          <w:sz w:val="24"/>
          <w:szCs w:val="24"/>
        </w:rPr>
        <w:t xml:space="preserve"> настоящего Порядка, в случае принятия такого решения.</w:t>
      </w:r>
    </w:p>
    <w:p>
      <w:pPr>
        <w:spacing w:after="120"/>
        <w:jc w:val="both"/>
      </w:pPr>
      <w:r>
        <w:rPr>
          <w:rFonts w:ascii="Arial" w:cs="Arial" w:eastAsia="Arial" w:hAnsi="Arial"/>
          <w:sz w:val="24"/>
          <w:szCs w:val="24"/>
        </w:rPr>
        <w:t xml:space="preserve">13. При принятии Решения, предусмотренного </w:t>
      </w:r>
      <w:r>
        <w:rPr>
          <w:rFonts w:ascii="Arial" w:cs="Arial" w:eastAsia="Arial" w:hAnsi="Arial"/>
          <w:sz w:val="24"/>
          <w:szCs w:val="24"/>
        </w:rPr>
        <w:t xml:space="preserve">пунктом 11</w:t>
      </w:r>
      <w:r>
        <w:rPr>
          <w:rFonts w:ascii="Arial" w:cs="Arial" w:eastAsia="Arial" w:hAnsi="Arial"/>
          <w:sz w:val="24"/>
          <w:szCs w:val="24"/>
        </w:rPr>
        <w:t xml:space="preserve"> настоящего Порядка, к письму таможни фактического контроля, направляемому в соответствии с </w:t>
      </w:r>
      <w:r>
        <w:rPr>
          <w:rFonts w:ascii="Arial" w:cs="Arial" w:eastAsia="Arial" w:hAnsi="Arial"/>
          <w:sz w:val="24"/>
          <w:szCs w:val="24"/>
        </w:rPr>
        <w:t xml:space="preserve">пунктом 13</w:t>
      </w:r>
      <w:r>
        <w:rPr>
          <w:rFonts w:ascii="Arial" w:cs="Arial" w:eastAsia="Arial" w:hAnsi="Arial"/>
          <w:sz w:val="24"/>
          <w:szCs w:val="24"/>
        </w:rPr>
        <w:t xml:space="preserve"> настоящего Порядка в адрес лица, подавшего Уведомление об уничтожении товаров или Уведомление о естественной убыли товаров, прилагаются документы, указанные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14. При принятии Решения о признании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документы, указанные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 возвращаются лицу, подавшему Уведомление об уничтожении товаров или Уведомление о естественной убыли товаров, при представлении им в таможню фактического контроля, которой было принято соответствующее решение, письменного заявления о возврате указанных документов, составленного в произвольной форме.</w:t>
      </w:r>
    </w:p>
    <w:p>
      <w:pPr>
        <w:spacing w:after="120"/>
        <w:jc w:val="both"/>
      </w:pPr>
      <w:r>
        <w:rPr>
          <w:rFonts w:ascii="Arial" w:cs="Arial" w:eastAsia="Arial" w:hAnsi="Arial"/>
          <w:sz w:val="24"/>
          <w:szCs w:val="24"/>
        </w:rPr>
        <w:t xml:space="preserve">Копии документов, указанных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 и послуживших основанием для принятия Решения, хранятся в таможне фактического контроля не менее трех лет со дня его принятия.</w:t>
      </w:r>
    </w:p>
    <w:p>
      <w:pPr>
        <w:spacing w:after="120"/>
        <w:jc w:val="both"/>
      </w:pPr>
      <w:r>
        <w:rPr>
          <w:rFonts w:ascii="Arial" w:cs="Arial" w:eastAsia="Arial" w:hAnsi="Arial"/>
          <w:sz w:val="24"/>
          <w:szCs w:val="24"/>
        </w:rPr>
        <w:t xml:space="preserve">15. Таможней фактического контроля после принятия решения при необходимости совершаются действия по внесению изменений и дополнений в таможенную декларацию или иной предусмотренный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таможенный документ, в котором содержатся сведения о товарах, находящихся под таможенным контролем, признанных уничтоженными и (или) безвозвратно утраченными.».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таможенном сопровождении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таможенного сопровождения транспортных средств, перевозящих товары, находящиеся под таможенным контролем или транспортных средств, находящихся под таможенным контролем, а также сроки и последовательность действий (таможенных операций) должностных лиц таможенного органа (далее – должностные лица) при проведении таможенного сопровождения транспортных средств, перевозящих товары, находящиеся под таможенным контролем, или транспортных средств, находящихся под таможенным контролем.</w:t>
      </w:r>
    </w:p>
    <w:p>
      <w:pPr>
        <w:spacing w:after="120"/>
        <w:jc w:val="both"/>
      </w:pPr>
      <w:r>
        <w:rPr>
          <w:rFonts w:ascii="Arial" w:cs="Arial" w:eastAsia="Arial" w:hAnsi="Arial"/>
          <w:sz w:val="24"/>
          <w:szCs w:val="24"/>
        </w:rPr>
        <w:t xml:space="preserve">2. Понятия, используемые в настоящем Положении, применяются в значениях, установленных Таможенным кодексом Евразийского экономического союза (далее – Кодекс), регулирующими таможенные правоотношения международными договорами, актами, составляющими право Евразийского экономического союза (далее – международные договоры, акты в сфере таможенного регулирования),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3. Таможенное сопровождение в соответствии с настоящим Положением осуществляется только по территории Кыргызской Республики и в отношении транспортных средств, перевозящих товары, находящиеся под таможенным контролем, или транспортных средств, находящихся под таможенным контролем, по территории Кыргызской Республики с помещением под таможенную процедуру таможенного транзита и без помещения под такую таможенную процедуру, за исключением товаров, в отношении которых используется навигационная (электронная) пломба в соответствии с решением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Проведение таможенного сопровождения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Таможенное сопровождение транспортных средств, перевозящих товары, находящиеся под таможенным контролем, или транспортных средств, находящихся под таможенным контролем, осуществляется должностными лицами подразделений таможенных органов, в функциональные обязанности которых входит осуществление таможенного сопровождения.</w:t>
      </w:r>
    </w:p>
    <w:p>
      <w:pPr>
        <w:spacing w:after="120"/>
        <w:jc w:val="both"/>
      </w:pPr>
      <w:r>
        <w:rPr>
          <w:rFonts w:ascii="Arial" w:cs="Arial" w:eastAsia="Arial" w:hAnsi="Arial"/>
          <w:sz w:val="24"/>
          <w:szCs w:val="24"/>
        </w:rPr>
        <w:t xml:space="preserve">5. Таможенное сопровождение применяется по решению должностных лиц, указанных в </w:t>
      </w:r>
      <w:r>
        <w:rPr>
          <w:rFonts w:ascii="Arial" w:cs="Arial" w:eastAsia="Arial" w:hAnsi="Arial"/>
          <w:sz w:val="24"/>
          <w:szCs w:val="24"/>
        </w:rPr>
        <w:t xml:space="preserve">пункте 9</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6. За таможенное сопровождение взимаются таможенные сборы в размере, установленном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7. Таможенное сопровождение осуществляет, как правило, один таможенный наряд (одно или несколько должностных лиц, сопровождающих транспортные средства международной перевозки, перевозящие товары, в соответствии с настоящим Положением).</w:t>
      </w:r>
    </w:p>
    <w:p>
      <w:pPr>
        <w:spacing w:after="120"/>
        <w:jc w:val="both"/>
      </w:pPr>
      <w:r>
        <w:rPr>
          <w:rFonts w:ascii="Arial" w:cs="Arial" w:eastAsia="Arial" w:hAnsi="Arial"/>
          <w:sz w:val="24"/>
          <w:szCs w:val="24"/>
        </w:rPr>
        <w:t xml:space="preserve">Смена таможенного наряда по пути следования сопровождаемых транспортных средств, перевозящих товары, допускается в случае невозможности или нецелесообразности дальнейшего сопровождения транспортных средств, перевозящих товары, первоначально назначенным нарядом и осуществляется по согласованию с таможенным органом отправления в соответствии с настоящим Положением. При этом смена таможенного наряда должна производиться после размещения сопровождаемых транспортных средств, перевозящих товары, в зоне таможенного контроля.</w:t>
      </w:r>
    </w:p>
    <w:p>
      <w:pPr>
        <w:spacing w:after="120"/>
        <w:jc w:val="both"/>
      </w:pPr>
      <w:r>
        <w:rPr>
          <w:rFonts w:ascii="Arial" w:cs="Arial" w:eastAsia="Arial" w:hAnsi="Arial"/>
          <w:sz w:val="24"/>
          <w:szCs w:val="24"/>
        </w:rPr>
        <w:t xml:space="preserve">8. В целях наиболее рациональной организации таможенного сопровождения, исключения скопления товаров и транспортных средств в местах их перемещения через таможенную границу, таможенные органы могут по согласованию с уполномоченным государственным органом в сфере таможенного дела создавать пункты смены таможенных нарядов, перечень которых утверждается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Начальник таможенного органа (лицо, его замещающее), в регионе деятельности которого находится пункт смены таможенного наряда, обеспечивает непрерывную возможность в круглосуточном режиме смены таможенных нарядов, сопровождающих транспортные средства, перевозящие товары, в целях исключения их простоя.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Организация таможенного сопровождения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Решение о применении таможенного сопровождения принимается:</w:t>
      </w:r>
    </w:p>
    <w:p>
      <w:pPr>
        <w:spacing w:after="120"/>
        <w:jc w:val="both"/>
      </w:pPr>
      <w:r>
        <w:rPr>
          <w:rFonts w:ascii="Arial" w:cs="Arial" w:eastAsia="Arial" w:hAnsi="Arial"/>
          <w:sz w:val="24"/>
          <w:szCs w:val="24"/>
        </w:rPr>
        <w:t xml:space="preserve">1) должностным лицом таможенного органа, принимающим коммерческие и товаросопроводительные документы на оформление в случаях непредоставления в соответствии со статьей 146 Кодекса обеспечения исполнения обязанности по уплате ввозных таможенных пошлин, налогов, специальных, антидемпинговых, компенсационных пошлин либо при предоставлении такого обеспечения в размере меньшем, чем определено статьей 146 Кодекса;</w:t>
      </w:r>
    </w:p>
    <w:p>
      <w:pPr>
        <w:spacing w:after="120"/>
        <w:jc w:val="both"/>
      </w:pPr>
      <w:r>
        <w:rPr>
          <w:rFonts w:ascii="Arial" w:cs="Arial" w:eastAsia="Arial" w:hAnsi="Arial"/>
          <w:sz w:val="24"/>
          <w:szCs w:val="24"/>
        </w:rPr>
        <w:t xml:space="preserve">2) начальником пункта пропуска/иного места перемещения товаров через таможенную границу или главным инспектором места таможенного оформления в случаях, предусмотренных пунктом 4 статьи 343 Кодекса, частью 6 </w:t>
      </w:r>
      <w:r>
        <w:rPr>
          <w:rFonts w:ascii="Arial" w:cs="Arial" w:eastAsia="Arial" w:hAnsi="Arial"/>
          <w:sz w:val="24"/>
          <w:szCs w:val="24"/>
        </w:rPr>
        <w:t xml:space="preserve">статьи 139</w:t>
      </w:r>
      <w:r>
        <w:rPr>
          <w:rFonts w:ascii="Arial" w:cs="Arial" w:eastAsia="Arial" w:hAnsi="Arial"/>
          <w:sz w:val="24"/>
          <w:szCs w:val="24"/>
        </w:rPr>
        <w:t xml:space="preserve"> Закона Кыргызской Республики «О таможенном регулировании», за исключением подпункта 1 настоящего пункта.</w:t>
      </w:r>
    </w:p>
    <w:p>
      <w:pPr>
        <w:spacing w:after="120"/>
        <w:jc w:val="both"/>
      </w:pPr>
      <w:r>
        <w:rPr>
          <w:rFonts w:ascii="Arial" w:cs="Arial" w:eastAsia="Arial" w:hAnsi="Arial"/>
          <w:sz w:val="24"/>
          <w:szCs w:val="24"/>
        </w:rPr>
        <w:t xml:space="preserve">10. Должностное лицо таможенного органа, принимающее коммерческие и товаросопроводительные документы на оформление, обязано:</w:t>
      </w:r>
    </w:p>
    <w:p>
      <w:pPr>
        <w:spacing w:after="120"/>
        <w:jc w:val="both"/>
      </w:pPr>
      <w:r>
        <w:rPr>
          <w:rFonts w:ascii="Arial" w:cs="Arial" w:eastAsia="Arial" w:hAnsi="Arial"/>
          <w:sz w:val="24"/>
          <w:szCs w:val="24"/>
        </w:rPr>
        <w:t xml:space="preserve">1) уведомить перевозчика о принятом решении о применении таможенного сопровождения и необходимости уплаты таможенных сборов за применение таможенного сопровождения;</w:t>
      </w:r>
    </w:p>
    <w:p>
      <w:pPr>
        <w:spacing w:after="120"/>
        <w:jc w:val="both"/>
      </w:pPr>
      <w:r>
        <w:rPr>
          <w:rFonts w:ascii="Arial" w:cs="Arial" w:eastAsia="Arial" w:hAnsi="Arial"/>
          <w:sz w:val="24"/>
          <w:szCs w:val="24"/>
        </w:rPr>
        <w:t xml:space="preserve">2) ознакомить должностных лиц, осуществляющих таможенное сопровождение, с принятым решением.</w:t>
      </w:r>
    </w:p>
    <w:p>
      <w:pPr>
        <w:spacing w:after="120"/>
        <w:jc w:val="both"/>
      </w:pPr>
      <w:r>
        <w:rPr>
          <w:rFonts w:ascii="Arial" w:cs="Arial" w:eastAsia="Arial" w:hAnsi="Arial"/>
          <w:sz w:val="24"/>
          <w:szCs w:val="24"/>
        </w:rPr>
        <w:t xml:space="preserve">11. Начальник пункта пропуска/иного места перемещения товаров и транспортных средств через таможенную границу или главный инспектор места таможенного оформления направляет в таможенный орган в оперативном порядке уведомление с указанием следующей информации:</w:t>
      </w:r>
    </w:p>
    <w:p>
      <w:pPr>
        <w:spacing w:after="120"/>
        <w:jc w:val="both"/>
      </w:pPr>
      <w:r>
        <w:rPr>
          <w:rFonts w:ascii="Arial" w:cs="Arial" w:eastAsia="Arial" w:hAnsi="Arial"/>
          <w:sz w:val="24"/>
          <w:szCs w:val="24"/>
        </w:rPr>
        <w:t xml:space="preserve">– количество должностных лиц, привлеченных для таможенного сопровождения;</w:t>
      </w:r>
    </w:p>
    <w:p>
      <w:pPr>
        <w:spacing w:after="120"/>
        <w:jc w:val="both"/>
      </w:pPr>
      <w:r>
        <w:rPr>
          <w:rFonts w:ascii="Arial" w:cs="Arial" w:eastAsia="Arial" w:hAnsi="Arial"/>
          <w:sz w:val="24"/>
          <w:szCs w:val="24"/>
        </w:rPr>
        <w:t xml:space="preserve">– фамилия, имя, отчество старшего таможенного наряда, состав наряда;</w:t>
      </w:r>
    </w:p>
    <w:p>
      <w:pPr>
        <w:spacing w:after="120"/>
        <w:jc w:val="both"/>
      </w:pPr>
      <w:r>
        <w:rPr>
          <w:rFonts w:ascii="Arial" w:cs="Arial" w:eastAsia="Arial" w:hAnsi="Arial"/>
          <w:sz w:val="24"/>
          <w:szCs w:val="24"/>
        </w:rPr>
        <w:t xml:space="preserve">– место начала и завершения таможенного сопровождения;</w:t>
      </w:r>
    </w:p>
    <w:p>
      <w:pPr>
        <w:spacing w:after="120"/>
        <w:jc w:val="both"/>
      </w:pPr>
      <w:r>
        <w:rPr>
          <w:rFonts w:ascii="Arial" w:cs="Arial" w:eastAsia="Arial" w:hAnsi="Arial"/>
          <w:sz w:val="24"/>
          <w:szCs w:val="24"/>
        </w:rPr>
        <w:t xml:space="preserve">– маршрут движения, если перевозка товаров осуществляется по определенному маршруту;</w:t>
      </w:r>
    </w:p>
    <w:p>
      <w:pPr>
        <w:spacing w:after="120"/>
        <w:jc w:val="both"/>
      </w:pPr>
      <w:r>
        <w:rPr>
          <w:rFonts w:ascii="Arial" w:cs="Arial" w:eastAsia="Arial" w:hAnsi="Arial"/>
          <w:sz w:val="24"/>
          <w:szCs w:val="24"/>
        </w:rPr>
        <w:t xml:space="preserve">– сведения о наличии оружия (его тип, количество, номера, количество боеприпасов);</w:t>
      </w:r>
    </w:p>
    <w:p>
      <w:pPr>
        <w:spacing w:after="120"/>
        <w:jc w:val="both"/>
      </w:pPr>
      <w:r>
        <w:rPr>
          <w:rFonts w:ascii="Arial" w:cs="Arial" w:eastAsia="Arial" w:hAnsi="Arial"/>
          <w:sz w:val="24"/>
          <w:szCs w:val="24"/>
        </w:rPr>
        <w:t xml:space="preserve">– сведения о государственных регистрационных знаках сопровождаемых транспортных средств;</w:t>
      </w:r>
    </w:p>
    <w:p>
      <w:pPr>
        <w:spacing w:after="120"/>
        <w:jc w:val="both"/>
      </w:pPr>
      <w:r>
        <w:rPr>
          <w:rFonts w:ascii="Arial" w:cs="Arial" w:eastAsia="Arial" w:hAnsi="Arial"/>
          <w:sz w:val="24"/>
          <w:szCs w:val="24"/>
        </w:rPr>
        <w:t xml:space="preserve">– пункты смены таможенного наряда (при необходимости).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оформления документов при</w:t>
      </w:r>
    </w:p>
    <w:p>
      <w:pPr>
        <w:spacing w:after="120"/>
        <w:jc w:val="center"/>
      </w:pPr>
      <w:r>
        <w:rPr>
          <w:rFonts w:ascii="Arial" w:cs="Arial" w:eastAsia="Arial" w:hAnsi="Arial"/>
          <w:b/>
          <w:bCs/>
          <w:sz w:val="24"/>
          <w:szCs w:val="24"/>
        </w:rPr>
        <w:t xml:space="preserve">таможенном сопровождении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оформлении документов на сопровождаемые товары и транспортные средства должностное лицо таможенного органа отправления на транзитной декларации проставляет штамп, личную номерную печать и заверяет их подписью.</w:t>
      </w:r>
    </w:p>
    <w:p>
      <w:pPr>
        <w:spacing w:after="120"/>
        <w:jc w:val="both"/>
      </w:pPr>
      <w:r>
        <w:rPr>
          <w:rFonts w:ascii="Arial" w:cs="Arial" w:eastAsia="Arial" w:hAnsi="Arial"/>
          <w:sz w:val="24"/>
          <w:szCs w:val="24"/>
        </w:rPr>
        <w:t xml:space="preserve">В случае формирования транзитной декларации в электронной форме посредством информационных систем проставление штампа, личной номерной печати и их заверение подписью не требуется.</w:t>
      </w:r>
    </w:p>
    <w:p>
      <w:pPr>
        <w:spacing w:after="120"/>
        <w:jc w:val="both"/>
      </w:pPr>
      <w:r>
        <w:rPr>
          <w:rFonts w:ascii="Arial" w:cs="Arial" w:eastAsia="Arial" w:hAnsi="Arial"/>
          <w:sz w:val="24"/>
          <w:szCs w:val="24"/>
        </w:rPr>
        <w:t xml:space="preserve">13. После оформления документов на сопровождаемые товары и транспортные средства должностное лицо таможенного органа отправления:</w:t>
      </w:r>
    </w:p>
    <w:p>
      <w:pPr>
        <w:spacing w:after="120"/>
        <w:jc w:val="both"/>
      </w:pPr>
      <w:r>
        <w:rPr>
          <w:rFonts w:ascii="Arial" w:cs="Arial" w:eastAsia="Arial" w:hAnsi="Arial"/>
          <w:sz w:val="24"/>
          <w:szCs w:val="24"/>
        </w:rPr>
        <w:t xml:space="preserve">– формирует акт приема-передачи подлежащих таможенному сопровождению транспортных средств, перевозящих товары, в произвольной форме в трех экземплярах и заверяет их личной номерной печатью. Акт приема-передачи содержит опись таможенных транспортных (перевозочных), коммерческих и иных документов, предназначенных для таможенного органа назначения, а также сведения о транспортном средстве и средствах их идентификации, при этом:</w:t>
      </w:r>
    </w:p>
    <w:p>
      <w:pPr>
        <w:spacing w:after="120"/>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старшему таможенного наряда;</w:t>
      </w:r>
    </w:p>
    <w:p>
      <w:pPr>
        <w:spacing w:after="120"/>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оставляет в таможенном органе отправления;</w:t>
      </w:r>
    </w:p>
    <w:p>
      <w:pPr>
        <w:spacing w:after="120"/>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другому перевозчику для доставки в таможенный орган назначения с приложением таможенных, транспортных (перевозочных), коммерческих и иных документов, предназначенных для таможенного органа назначения, под роспись об ознакомлении с ответственностью за их сохранность.</w:t>
      </w:r>
    </w:p>
    <w:p>
      <w:pPr>
        <w:spacing w:after="120"/>
        <w:jc w:val="both"/>
      </w:pPr>
      <w:r>
        <w:rPr>
          <w:rFonts w:ascii="Arial" w:cs="Arial" w:eastAsia="Arial" w:hAnsi="Arial"/>
          <w:sz w:val="24"/>
          <w:szCs w:val="24"/>
        </w:rPr>
        <w:t xml:space="preserve">14. По прибытии в место доставки либо пункт смены таможенного наряда сопровождаемые транспортные средства, перевозящие товары, размещаются в зоне таможенного контроля.</w:t>
      </w:r>
    </w:p>
    <w:p>
      <w:pPr>
        <w:spacing w:after="120"/>
        <w:jc w:val="both"/>
      </w:pPr>
      <w:r>
        <w:rPr>
          <w:rFonts w:ascii="Arial" w:cs="Arial" w:eastAsia="Arial" w:hAnsi="Arial"/>
          <w:sz w:val="24"/>
          <w:szCs w:val="24"/>
        </w:rPr>
        <w:t xml:space="preserve">Старший таможенного наряда передает должностному лицу таможенного органа назначения либо смены один экземпляр акта приема-передачи и совместно с должностным лицом этого таможенного органа проверяет целостность средств идентификации, грузовые отделения транспортных средств, их сохранность и наличие переданных перевозчику акта приема-передачи таможенных, транспортных (перевозочных), коммерческих и иных документов, предназначенных для таможенного органа назначения.</w:t>
      </w:r>
    </w:p>
    <w:p>
      <w:pPr>
        <w:spacing w:after="120"/>
        <w:jc w:val="both"/>
      </w:pPr>
      <w:r>
        <w:rPr>
          <w:rFonts w:ascii="Arial" w:cs="Arial" w:eastAsia="Arial" w:hAnsi="Arial"/>
          <w:sz w:val="24"/>
          <w:szCs w:val="24"/>
        </w:rPr>
        <w:t xml:space="preserve">Таможенный досмотр товаров и транспортных средств в присутствии таможенного наряда производится только в случае нарушения средств идентификации, целостности грузовых отделений транспортных средств и утраты документов.</w:t>
      </w:r>
    </w:p>
    <w:p>
      <w:pPr>
        <w:spacing w:after="120"/>
        <w:jc w:val="both"/>
      </w:pPr>
      <w:r>
        <w:rPr>
          <w:rFonts w:ascii="Arial" w:cs="Arial" w:eastAsia="Arial" w:hAnsi="Arial"/>
          <w:sz w:val="24"/>
          <w:szCs w:val="24"/>
        </w:rPr>
        <w:t xml:space="preserve">В случае проведения таможенного досмотра копия экземпляра акта досмотра, заверенная оттиском личной номерной печати должностного лица таможенного органа, проводившего таможенный досмотр, вручается старшему таможенного наряда.</w:t>
      </w:r>
    </w:p>
    <w:p>
      <w:pPr>
        <w:spacing w:after="120"/>
        <w:jc w:val="both"/>
      </w:pPr>
      <w:r>
        <w:rPr>
          <w:rFonts w:ascii="Arial" w:cs="Arial" w:eastAsia="Arial" w:hAnsi="Arial"/>
          <w:sz w:val="24"/>
          <w:szCs w:val="24"/>
        </w:rPr>
        <w:t xml:space="preserve">15. Должностное лицо таможенного органа назначения либо смены во втором и третьем экземплярах акта приема-передачи проставляет соответствующие отметки о приеме сопровождаемых транспортных средств, перевозящих товары.</w:t>
      </w:r>
    </w:p>
    <w:p>
      <w:pPr>
        <w:spacing w:after="120"/>
        <w:jc w:val="both"/>
      </w:pPr>
      <w:r>
        <w:rPr>
          <w:rFonts w:ascii="Arial" w:cs="Arial" w:eastAsia="Arial" w:hAnsi="Arial"/>
          <w:sz w:val="24"/>
          <w:szCs w:val="24"/>
        </w:rPr>
        <w:t xml:space="preserve">Второй экземпляр акта приема-передачи остается таможенном органе назначения либо смены, третий экземпляр акта приема-передачи передается старшему таможенного наряда для последующей передачи таможенному органу, выдавшему акт приема-передачи на таможенное сопровождение.</w:t>
      </w:r>
    </w:p>
    <w:p>
      <w:pPr>
        <w:spacing w:after="120"/>
        <w:jc w:val="both"/>
      </w:pPr>
      <w:r>
        <w:rPr>
          <w:rFonts w:ascii="Arial" w:cs="Arial" w:eastAsia="Arial" w:hAnsi="Arial"/>
          <w:sz w:val="24"/>
          <w:szCs w:val="24"/>
        </w:rPr>
        <w:t xml:space="preserve">16. При возникновении обстоятельств, которые могут повлечь уничтожение или утрату сопровождаемых транспортных средств, товаров, находящихся в транспортных средствах, документов на них, таможенный наряд обязан принять все зависящие от него меры по обеспечению их сохранности.</w:t>
      </w:r>
    </w:p>
    <w:p>
      <w:pPr>
        <w:spacing w:after="120"/>
        <w:jc w:val="both"/>
      </w:pPr>
      <w:r>
        <w:rPr>
          <w:rFonts w:ascii="Arial" w:cs="Arial" w:eastAsia="Arial" w:hAnsi="Arial"/>
          <w:sz w:val="24"/>
          <w:szCs w:val="24"/>
        </w:rPr>
        <w:t xml:space="preserve">17. При осуществлении таможенного сопровождения таможенный наряд вправе применять физическую силу, специальные средства и оружие в соответствии с правилами, установленными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18. При таможенном сопровождении товаров и автотранспортных средств:</w:t>
      </w:r>
    </w:p>
    <w:p>
      <w:pPr>
        <w:spacing w:after="120"/>
        <w:jc w:val="both"/>
      </w:pPr>
      <w:r>
        <w:rPr>
          <w:rFonts w:ascii="Arial" w:cs="Arial" w:eastAsia="Arial" w:hAnsi="Arial"/>
          <w:sz w:val="24"/>
          <w:szCs w:val="24"/>
        </w:rPr>
        <w:t xml:space="preserve">1) количество транспортных средств, подлежащих таможенному сопровождению одним нарядом, определяется таможенным органом отправления в зависимости от условий перевозки и характера товаров;</w:t>
      </w:r>
    </w:p>
    <w:p>
      <w:pPr>
        <w:spacing w:after="120"/>
        <w:jc w:val="both"/>
      </w:pPr>
      <w:r>
        <w:rPr>
          <w:rFonts w:ascii="Arial" w:cs="Arial" w:eastAsia="Arial" w:hAnsi="Arial"/>
          <w:sz w:val="24"/>
          <w:szCs w:val="24"/>
        </w:rPr>
        <w:t xml:space="preserve">2) при следовании таможенного наряда в сопровождаемых автотранспортных средствах должностные лица, входящие в состав таможенного наряда, размещаются в головном и замыкающем автотранспортных средствах;</w:t>
      </w:r>
    </w:p>
    <w:p>
      <w:pPr>
        <w:spacing w:after="120"/>
        <w:jc w:val="both"/>
      </w:pPr>
      <w:r>
        <w:rPr>
          <w:rFonts w:ascii="Arial" w:cs="Arial" w:eastAsia="Arial" w:hAnsi="Arial"/>
          <w:sz w:val="24"/>
          <w:szCs w:val="24"/>
        </w:rPr>
        <w:t xml:space="preserve">3) при следовании таможенного наряда в автотранспортном средстве сопровождения, сопровождающее автотранспортное средство следует в таком порядке, чтобы была возможность обеспечивать наблюдение за всей колонной сопровождаемых автотранспортных средств;</w:t>
      </w:r>
    </w:p>
    <w:p>
      <w:pPr>
        <w:spacing w:after="120"/>
        <w:jc w:val="both"/>
      </w:pPr>
      <w:r>
        <w:rPr>
          <w:rFonts w:ascii="Arial" w:cs="Arial" w:eastAsia="Arial" w:hAnsi="Arial"/>
          <w:sz w:val="24"/>
          <w:szCs w:val="24"/>
        </w:rPr>
        <w:t xml:space="preserve">4) во время остановок таможенный наряд контролирует обе стороны колонны.</w:t>
      </w:r>
    </w:p>
    <w:p>
      <w:pPr>
        <w:spacing w:after="120"/>
        <w:jc w:val="both"/>
      </w:pPr>
      <w:r>
        <w:rPr>
          <w:rFonts w:ascii="Arial" w:cs="Arial" w:eastAsia="Arial" w:hAnsi="Arial"/>
          <w:sz w:val="24"/>
          <w:szCs w:val="24"/>
        </w:rPr>
        <w:t xml:space="preserve">19. В случае неисправности одного из автотранспортных средств, вследствие аварии или действия непреодолимой силы, приведших к невозможности его дальнейшего движения, таможенный наряд приостанавливает движение всей колонны и извещает о случившемся, месте нахождения колонны в ближайший таможенный орган.</w:t>
      </w:r>
    </w:p>
    <w:p>
      <w:pPr>
        <w:spacing w:after="120"/>
        <w:jc w:val="both"/>
      </w:pPr>
      <w:r>
        <w:rPr>
          <w:rFonts w:ascii="Arial" w:cs="Arial" w:eastAsia="Arial" w:hAnsi="Arial"/>
          <w:sz w:val="24"/>
          <w:szCs w:val="24"/>
        </w:rPr>
        <w:t xml:space="preserve">Указанный таможенный орган в кратчайший срок обязан обеспечить прибытие должностных лиц к месту нахождения неисправного автотранспортного средства для принятия мер, необходимых для обеспечения таможенного контроля товаров, находящихся в неисправном автотранспортном средстве.</w:t>
      </w:r>
    </w:p>
    <w:p>
      <w:pPr>
        <w:spacing w:after="120"/>
        <w:jc w:val="both"/>
      </w:pPr>
      <w:r>
        <w:rPr>
          <w:rFonts w:ascii="Arial" w:cs="Arial" w:eastAsia="Arial" w:hAnsi="Arial"/>
          <w:sz w:val="24"/>
          <w:szCs w:val="24"/>
        </w:rPr>
        <w:t xml:space="preserve">О случившемся составляется акт приема-передачи неисправного транспортного средства (далее – акт) в произвольной форме, в двух экземплярах, с изложением обстоятельств дела, описанием состояния товаров и других сведений, необходимых для последующего осуществления таможенного контроля и совершения таможенных операций. Акт подписывают старший таможенного наряда и должностное лицо указанного ближайшего таможенного органа.</w:t>
      </w:r>
    </w:p>
    <w:p>
      <w:pPr>
        <w:spacing w:after="120"/>
        <w:jc w:val="both"/>
      </w:pPr>
      <w:r>
        <w:rPr>
          <w:rFonts w:ascii="Arial" w:cs="Arial" w:eastAsia="Arial" w:hAnsi="Arial"/>
          <w:sz w:val="24"/>
          <w:szCs w:val="24"/>
        </w:rPr>
        <w:t xml:space="preserve">Соответствующие изменения старший таможенного наряда, должностное лицо указанного ближайшего таможенного органа и перевозчик вносят в акт и заверяют их своими подписями.</w:t>
      </w:r>
    </w:p>
    <w:p>
      <w:pPr>
        <w:spacing w:after="120"/>
        <w:jc w:val="both"/>
      </w:pPr>
      <w:r>
        <w:rPr>
          <w:rFonts w:ascii="Arial" w:cs="Arial" w:eastAsia="Arial" w:hAnsi="Arial"/>
          <w:sz w:val="24"/>
          <w:szCs w:val="24"/>
        </w:rPr>
        <w:t xml:space="preserve">20. После передачи неисправного автотранспортного средства, перевозящего товары, должностным лицам таможенного органа, другие автотранспортные средства колонны могут продолжать движение.</w:t>
      </w:r>
    </w:p>
    <w:p>
      <w:pPr>
        <w:spacing w:after="120"/>
        <w:jc w:val="both"/>
      </w:pPr>
      <w:r>
        <w:rPr>
          <w:rFonts w:ascii="Arial" w:cs="Arial" w:eastAsia="Arial" w:hAnsi="Arial"/>
          <w:sz w:val="24"/>
          <w:szCs w:val="24"/>
        </w:rPr>
        <w:t xml:space="preserve">Если неисправность автотранспортного средства устранима, без опасности повреждения или утраты товаров, вся колонна задерживается до окончания ремонта.».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
        <w:gridCol w:w="578"/>
        <w:gridCol w:w="578"/>
        <w:gridCol w:w="578"/>
        <w:gridCol w:w="578"/>
        <w:gridCol w:w="578"/>
        <w:gridCol w:w="608"/>
        <w:gridCol w:w="608"/>
        <w:gridCol w:w="608"/>
        <w:gridCol w:w="748"/>
        <w:gridCol w:w="748"/>
        <w:gridCol w:w="642"/>
        <w:gridCol w:w="642"/>
        <w:gridCol w:w="642"/>
        <w:gridCol w:w="570"/>
        <w:gridCol w:w="570"/>
        <w:gridCol w:w="570"/>
      </w:tblGrid>
      <w:tr>
        <w:tc>
          <w:tcPr>
            <w:tcW w:type="dxa" w:w="329"/>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2890"/>
            <w:gridSpan w:val="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Товары электронной</w:t>
            </w:r>
          </w:p>
          <w:p>
            <w:pPr>
              <w:jc w:val="center"/>
            </w:pPr>
            <w:r>
              <w:rPr>
                <w:rFonts w:ascii="Arial" w:cs="Arial" w:eastAsia="Arial" w:hAnsi="Arial"/>
                <w:b/>
                <w:bCs/>
                <w:sz w:val="24"/>
                <w:szCs w:val="24"/>
              </w:rPr>
              <w:t xml:space="preserve">торговли, помещенные под</w:t>
            </w:r>
          </w:p>
          <w:p>
            <w:pPr>
              <w:jc w:val="center"/>
            </w:pPr>
            <w:r>
              <w:rPr>
                <w:rFonts w:ascii="Arial" w:cs="Arial" w:eastAsia="Arial" w:hAnsi="Arial"/>
                <w:b/>
                <w:bCs/>
                <w:sz w:val="24"/>
                <w:szCs w:val="24"/>
              </w:rPr>
              <w:t xml:space="preserve">таможенную процедуру</w:t>
            </w:r>
          </w:p>
          <w:p>
            <w:pPr>
              <w:jc w:val="center"/>
            </w:pPr>
            <w:r>
              <w:rPr>
                <w:rFonts w:ascii="Arial" w:cs="Arial" w:eastAsia="Arial" w:hAnsi="Arial"/>
                <w:b/>
                <w:bCs/>
                <w:sz w:val="24"/>
                <w:szCs w:val="24"/>
              </w:rPr>
              <w:t xml:space="preserve">таможенного склада за</w:t>
            </w:r>
          </w:p>
          <w:p>
            <w:pPr>
              <w:jc w:val="center"/>
            </w:pPr>
            <w:r>
              <w:rPr>
                <w:rFonts w:ascii="Arial" w:cs="Arial" w:eastAsia="Arial" w:hAnsi="Arial"/>
                <w:b/>
                <w:bCs/>
                <w:sz w:val="24"/>
                <w:szCs w:val="24"/>
              </w:rPr>
              <w:t xml:space="preserve">отчетный период**</w:t>
            </w:r>
          </w:p>
        </w:tc>
        <w:tc>
          <w:tcPr>
            <w:tcW w:type="dxa" w:w="1824"/>
            <w:gridSpan w:val="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Товары</w:t>
            </w:r>
          </w:p>
          <w:p>
            <w:pPr>
              <w:jc w:val="center"/>
            </w:pPr>
            <w:r>
              <w:rPr>
                <w:rFonts w:ascii="Arial" w:cs="Arial" w:eastAsia="Arial" w:hAnsi="Arial"/>
                <w:b/>
                <w:bCs/>
                <w:sz w:val="24"/>
                <w:szCs w:val="24"/>
              </w:rPr>
              <w:t xml:space="preserve">электронной</w:t>
            </w:r>
          </w:p>
          <w:p>
            <w:pPr>
              <w:jc w:val="center"/>
            </w:pPr>
            <w:r>
              <w:rPr>
                <w:rFonts w:ascii="Arial" w:cs="Arial" w:eastAsia="Arial" w:hAnsi="Arial"/>
                <w:b/>
                <w:bCs/>
                <w:sz w:val="24"/>
                <w:szCs w:val="24"/>
              </w:rPr>
              <w:t xml:space="preserve">торговли,</w:t>
            </w:r>
          </w:p>
          <w:p>
            <w:pPr>
              <w:jc w:val="center"/>
            </w:pPr>
            <w:r>
              <w:rPr>
                <w:rFonts w:ascii="Arial" w:cs="Arial" w:eastAsia="Arial" w:hAnsi="Arial"/>
                <w:b/>
                <w:bCs/>
                <w:sz w:val="24"/>
                <w:szCs w:val="24"/>
              </w:rPr>
              <w:t xml:space="preserve">реализованные</w:t>
            </w:r>
          </w:p>
          <w:p>
            <w:pPr>
              <w:jc w:val="center"/>
            </w:pPr>
            <w:r>
              <w:rPr>
                <w:rFonts w:ascii="Arial" w:cs="Arial" w:eastAsia="Arial" w:hAnsi="Arial"/>
                <w:b/>
                <w:bCs/>
                <w:sz w:val="24"/>
                <w:szCs w:val="24"/>
              </w:rPr>
              <w:t xml:space="preserve">физическим</w:t>
            </w:r>
          </w:p>
          <w:p>
            <w:pPr>
              <w:jc w:val="center"/>
            </w:pPr>
            <w:r>
              <w:rPr>
                <w:rFonts w:ascii="Arial" w:cs="Arial" w:eastAsia="Arial" w:hAnsi="Arial"/>
                <w:b/>
                <w:bCs/>
                <w:sz w:val="24"/>
                <w:szCs w:val="24"/>
              </w:rPr>
              <w:t xml:space="preserve">лицам с</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 за</w:t>
            </w:r>
          </w:p>
          <w:p>
            <w:pPr>
              <w:jc w:val="center"/>
            </w:pPr>
            <w:r>
              <w:rPr>
                <w:rFonts w:ascii="Arial" w:cs="Arial" w:eastAsia="Arial" w:hAnsi="Arial"/>
                <w:b/>
                <w:bCs/>
                <w:sz w:val="24"/>
                <w:szCs w:val="24"/>
              </w:rPr>
              <w:t xml:space="preserve">отчетный</w:t>
            </w:r>
          </w:p>
          <w:p>
            <w:pPr>
              <w:jc w:val="center"/>
            </w:pPr>
            <w:r>
              <w:rPr>
                <w:rFonts w:ascii="Arial" w:cs="Arial" w:eastAsia="Arial" w:hAnsi="Arial"/>
                <w:b/>
                <w:bCs/>
                <w:sz w:val="24"/>
                <w:szCs w:val="24"/>
              </w:rPr>
              <w:t xml:space="preserve">период**</w:t>
            </w:r>
          </w:p>
        </w:tc>
        <w:tc>
          <w:tcPr>
            <w:tcW w:type="dxa" w:w="149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Товары</w:t>
            </w:r>
          </w:p>
          <w:p>
            <w:pPr>
              <w:jc w:val="center"/>
            </w:pPr>
            <w:r>
              <w:rPr>
                <w:rFonts w:ascii="Arial" w:cs="Arial" w:eastAsia="Arial" w:hAnsi="Arial"/>
                <w:b/>
                <w:bCs/>
                <w:sz w:val="24"/>
                <w:szCs w:val="24"/>
              </w:rPr>
              <w:t xml:space="preserve">электронной</w:t>
            </w:r>
          </w:p>
          <w:p>
            <w:pPr>
              <w:jc w:val="center"/>
            </w:pPr>
            <w:r>
              <w:rPr>
                <w:rFonts w:ascii="Arial" w:cs="Arial" w:eastAsia="Arial" w:hAnsi="Arial"/>
                <w:b/>
                <w:bCs/>
                <w:sz w:val="24"/>
                <w:szCs w:val="24"/>
              </w:rPr>
              <w:t xml:space="preserve">торговли, в</w:t>
            </w:r>
          </w:p>
          <w:p>
            <w:pPr>
              <w:jc w:val="center"/>
            </w:pPr>
            <w:r>
              <w:rPr>
                <w:rFonts w:ascii="Arial" w:cs="Arial" w:eastAsia="Arial" w:hAnsi="Arial"/>
                <w:b/>
                <w:bCs/>
                <w:sz w:val="24"/>
                <w:szCs w:val="24"/>
              </w:rPr>
              <w:t xml:space="preserve">отношении</w:t>
            </w:r>
          </w:p>
          <w:p>
            <w:pPr>
              <w:jc w:val="center"/>
            </w:pPr>
            <w:r>
              <w:rPr>
                <w:rFonts w:ascii="Arial" w:cs="Arial" w:eastAsia="Arial" w:hAnsi="Arial"/>
                <w:b/>
                <w:bCs/>
                <w:sz w:val="24"/>
                <w:szCs w:val="24"/>
              </w:rPr>
              <w:t xml:space="preserve">которых</w:t>
            </w:r>
          </w:p>
          <w:p>
            <w:pPr>
              <w:jc w:val="center"/>
            </w:pPr>
            <w:r>
              <w:rPr>
                <w:rFonts w:ascii="Arial" w:cs="Arial" w:eastAsia="Arial" w:hAnsi="Arial"/>
                <w:b/>
                <w:bCs/>
                <w:sz w:val="24"/>
                <w:szCs w:val="24"/>
              </w:rPr>
              <w:t xml:space="preserve">процедура</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w:t>
            </w:r>
          </w:p>
          <w:p>
            <w:pPr>
              <w:jc w:val="center"/>
            </w:pPr>
            <w:r>
              <w:rPr>
                <w:rFonts w:ascii="Arial" w:cs="Arial" w:eastAsia="Arial" w:hAnsi="Arial"/>
                <w:b/>
                <w:bCs/>
                <w:sz w:val="24"/>
                <w:szCs w:val="24"/>
              </w:rPr>
              <w:t xml:space="preserve">изменена</w:t>
            </w:r>
          </w:p>
        </w:tc>
        <w:tc>
          <w:tcPr>
            <w:tcW w:type="dxa" w:w="1926"/>
            <w:gridSpan w:val="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Остаток</w:t>
            </w:r>
          </w:p>
          <w:p>
            <w:pPr>
              <w:jc w:val="center"/>
            </w:pPr>
            <w:r>
              <w:rPr>
                <w:rFonts w:ascii="Arial" w:cs="Arial" w:eastAsia="Arial" w:hAnsi="Arial"/>
                <w:b/>
                <w:bCs/>
                <w:sz w:val="24"/>
                <w:szCs w:val="24"/>
              </w:rPr>
              <w:t xml:space="preserve">товара,</w:t>
            </w:r>
          </w:p>
          <w:p>
            <w:pPr>
              <w:jc w:val="center"/>
            </w:pPr>
            <w:r>
              <w:rPr>
                <w:rFonts w:ascii="Arial" w:cs="Arial" w:eastAsia="Arial" w:hAnsi="Arial"/>
                <w:b/>
                <w:bCs/>
                <w:sz w:val="24"/>
                <w:szCs w:val="24"/>
              </w:rPr>
              <w:t xml:space="preserve">помещенного под</w:t>
            </w:r>
          </w:p>
          <w:p>
            <w:pPr>
              <w:jc w:val="center"/>
            </w:pPr>
            <w:r>
              <w:rPr>
                <w:rFonts w:ascii="Arial" w:cs="Arial" w:eastAsia="Arial" w:hAnsi="Arial"/>
                <w:b/>
                <w:bCs/>
                <w:sz w:val="24"/>
                <w:szCs w:val="24"/>
              </w:rPr>
              <w:t xml:space="preserve">таможенную</w:t>
            </w:r>
          </w:p>
          <w:p>
            <w:pPr>
              <w:jc w:val="center"/>
            </w:pPr>
            <w:r>
              <w:rPr>
                <w:rFonts w:ascii="Arial" w:cs="Arial" w:eastAsia="Arial" w:hAnsi="Arial"/>
                <w:b/>
                <w:bCs/>
                <w:sz w:val="24"/>
                <w:szCs w:val="24"/>
              </w:rPr>
              <w:t xml:space="preserve">процедуру</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 на первый</w:t>
            </w:r>
          </w:p>
          <w:p>
            <w:pPr>
              <w:jc w:val="center"/>
            </w:pPr>
            <w:r>
              <w:rPr>
                <w:rFonts w:ascii="Arial" w:cs="Arial" w:eastAsia="Arial" w:hAnsi="Arial"/>
                <w:b/>
                <w:bCs/>
                <w:sz w:val="24"/>
                <w:szCs w:val="24"/>
              </w:rPr>
              <w:t xml:space="preserve">день отчетного</w:t>
            </w:r>
          </w:p>
          <w:p>
            <w:pPr>
              <w:jc w:val="center"/>
            </w:pPr>
            <w:r>
              <w:rPr>
                <w:rFonts w:ascii="Arial" w:cs="Arial" w:eastAsia="Arial" w:hAnsi="Arial"/>
                <w:b/>
                <w:bCs/>
                <w:sz w:val="24"/>
                <w:szCs w:val="24"/>
              </w:rPr>
              <w:t xml:space="preserve">периода</w:t>
            </w:r>
          </w:p>
        </w:tc>
        <w:tc>
          <w:tcPr>
            <w:tcW w:type="dxa" w:w="1710"/>
            <w:gridSpan w:val="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Остаток товара,</w:t>
            </w:r>
          </w:p>
          <w:p>
            <w:pPr>
              <w:jc w:val="center"/>
            </w:pPr>
            <w:r>
              <w:rPr>
                <w:rFonts w:ascii="Arial" w:cs="Arial" w:eastAsia="Arial" w:hAnsi="Arial"/>
                <w:b/>
                <w:bCs/>
                <w:sz w:val="24"/>
                <w:szCs w:val="24"/>
              </w:rPr>
              <w:t xml:space="preserve">помещенного под</w:t>
            </w:r>
          </w:p>
          <w:p>
            <w:pPr>
              <w:jc w:val="center"/>
            </w:pPr>
            <w:r>
              <w:rPr>
                <w:rFonts w:ascii="Arial" w:cs="Arial" w:eastAsia="Arial" w:hAnsi="Arial"/>
                <w:b/>
                <w:bCs/>
                <w:sz w:val="24"/>
                <w:szCs w:val="24"/>
              </w:rPr>
              <w:t xml:space="preserve">таможенную</w:t>
            </w:r>
          </w:p>
          <w:p>
            <w:pPr>
              <w:jc w:val="center"/>
            </w:pPr>
            <w:r>
              <w:rPr>
                <w:rFonts w:ascii="Arial" w:cs="Arial" w:eastAsia="Arial" w:hAnsi="Arial"/>
                <w:b/>
                <w:bCs/>
                <w:sz w:val="24"/>
                <w:szCs w:val="24"/>
              </w:rPr>
              <w:t xml:space="preserve">процедуру</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 на</w:t>
            </w:r>
          </w:p>
          <w:p>
            <w:pPr>
              <w:jc w:val="center"/>
            </w:pPr>
            <w:r>
              <w:rPr>
                <w:rFonts w:ascii="Arial" w:cs="Arial" w:eastAsia="Arial" w:hAnsi="Arial"/>
                <w:b/>
                <w:bCs/>
                <w:sz w:val="24"/>
                <w:szCs w:val="24"/>
              </w:rPr>
              <w:t xml:space="preserve">последний</w:t>
            </w:r>
          </w:p>
          <w:p>
            <w:pPr>
              <w:jc w:val="center"/>
            </w:pPr>
            <w:r>
              <w:rPr>
                <w:rFonts w:ascii="Arial" w:cs="Arial" w:eastAsia="Arial" w:hAnsi="Arial"/>
                <w:b/>
                <w:bCs/>
                <w:sz w:val="24"/>
                <w:szCs w:val="24"/>
              </w:rPr>
              <w:t xml:space="preserve">день</w:t>
            </w:r>
          </w:p>
          <w:p>
            <w:pPr>
              <w:jc w:val="center"/>
            </w:pPr>
            <w:r>
              <w:rPr>
                <w:rFonts w:ascii="Arial" w:cs="Arial" w:eastAsia="Arial" w:hAnsi="Arial"/>
                <w:b/>
                <w:bCs/>
                <w:sz w:val="24"/>
                <w:szCs w:val="24"/>
              </w:rPr>
              <w:t xml:space="preserve">отчетного</w:t>
            </w:r>
          </w:p>
          <w:p>
            <w:pPr>
              <w:jc w:val="center"/>
            </w:pPr>
            <w:r>
              <w:rPr>
                <w:rFonts w:ascii="Arial" w:cs="Arial" w:eastAsia="Arial" w:hAnsi="Arial"/>
                <w:b/>
                <w:bCs/>
                <w:sz w:val="24"/>
                <w:szCs w:val="24"/>
              </w:rPr>
              <w:t xml:space="preserve">периода</w:t>
            </w:r>
          </w:p>
        </w:tc>
      </w:tr>
      <w:tr>
        <w:tc>
          <w:tcPr>
            <w:vMerge w:val="continue"/>
            <w:tcBorders>
              <w:top w:val="single" w:color="CBBF9E" w:sz="4"/>
              <w:left w:val="single" w:color="CBBF9E" w:sz="4"/>
              <w:bottom w:val="single" w:color="CBBF9E" w:sz="4"/>
              <w:right w:val="single" w:color="CBBF9E" w:sz="4"/>
            </w:tcBorders>
          </w:tcP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Справочный номер декларации на товары</w:t>
            </w:r>
          </w:p>
          <w:p>
            <w:pPr>
              <w:jc w:val="center"/>
            </w:pPr>
            <w:r>
              <w:rPr>
                <w:rFonts w:ascii="Arial" w:cs="Arial" w:eastAsia="Arial" w:hAnsi="Arial"/>
                <w:b w:val="false"/>
                <w:bCs w:val="false"/>
                <w:sz w:val="24"/>
                <w:szCs w:val="24"/>
              </w:rPr>
              <w:t xml:space="preserve">электронной торговли</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Наименование товара</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Код товара в соответствии с ТН ВЭД ЕАЭС,</w:t>
            </w:r>
          </w:p>
          <w:p>
            <w:pPr>
              <w:jc w:val="center"/>
            </w:pPr>
            <w:r>
              <w:rPr>
                <w:rFonts w:ascii="Arial" w:cs="Arial" w:eastAsia="Arial" w:hAnsi="Arial"/>
                <w:b w:val="false"/>
                <w:bCs w:val="false"/>
                <w:sz w:val="24"/>
                <w:szCs w:val="24"/>
              </w:rPr>
              <w:t xml:space="preserve">указанный в таможенных документах</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 в</w:t>
            </w:r>
          </w:p>
          <w:p>
            <w:pPr>
              <w:jc w:val="center"/>
            </w:pPr>
            <w:r>
              <w:rPr>
                <w:rFonts w:ascii="Arial" w:cs="Arial" w:eastAsia="Arial" w:hAnsi="Arial"/>
                <w:b w:val="false"/>
                <w:bCs w:val="false"/>
                <w:sz w:val="24"/>
                <w:szCs w:val="24"/>
              </w:rPr>
              <w:t xml:space="preserve">таможенных документах</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Буквенный код валюты, указанный в</w:t>
            </w:r>
          </w:p>
          <w:p>
            <w:pPr>
              <w:jc w:val="center"/>
            </w:pPr>
            <w:r>
              <w:rPr>
                <w:rFonts w:ascii="Arial" w:cs="Arial" w:eastAsia="Arial" w:hAnsi="Arial"/>
                <w:b w:val="false"/>
                <w:bCs w:val="false"/>
                <w:sz w:val="24"/>
                <w:szCs w:val="24"/>
              </w:rPr>
              <w:t xml:space="preserve">таможенных документах</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Справочный номер декларации на товары</w:t>
            </w:r>
          </w:p>
          <w:p>
            <w:pPr>
              <w:jc w:val="center"/>
            </w:pPr>
            <w:r>
              <w:rPr>
                <w:rFonts w:ascii="Arial" w:cs="Arial" w:eastAsia="Arial" w:hAnsi="Arial"/>
                <w:b w:val="false"/>
                <w:bCs w:val="false"/>
                <w:sz w:val="24"/>
                <w:szCs w:val="24"/>
              </w:rPr>
              <w:t xml:space="preserve">электронной торговли</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p>
            <w:pPr>
              <w:jc w:val="center"/>
            </w:pPr>
            <w:r>
              <w:rPr>
                <w:rFonts w:ascii="Arial" w:cs="Arial" w:eastAsia="Arial" w:hAnsi="Arial"/>
                <w:sz w:val="24"/>
                <w:szCs w:val="24"/>
              </w:rPr>
              <w:t xml:space="preserve"/>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 в</w:t>
            </w:r>
          </w:p>
          <w:p>
            <w:pPr>
              <w:jc w:val="center"/>
            </w:pPr>
            <w:r>
              <w:rPr>
                <w:rFonts w:ascii="Arial" w:cs="Arial" w:eastAsia="Arial" w:hAnsi="Arial"/>
                <w:b w:val="false"/>
                <w:bCs w:val="false"/>
                <w:sz w:val="24"/>
                <w:szCs w:val="24"/>
              </w:rPr>
              <w:t xml:space="preserve">таможенных документах</w:t>
            </w:r>
          </w:p>
          <w:p>
            <w:pPr>
              <w:jc w:val="center"/>
            </w:pPr>
            <w:r>
              <w:rPr>
                <w:rFonts w:ascii="Arial" w:cs="Arial" w:eastAsia="Arial" w:hAnsi="Arial"/>
                <w:sz w:val="24"/>
                <w:szCs w:val="24"/>
              </w:rPr>
              <w:t xml:space="preserve"/>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Справочный номер таможенной</w:t>
            </w:r>
          </w:p>
          <w:p>
            <w:pPr>
              <w:jc w:val="center"/>
            </w:pPr>
            <w:r>
              <w:rPr>
                <w:rFonts w:ascii="Arial" w:cs="Arial" w:eastAsia="Arial" w:hAnsi="Arial"/>
                <w:b w:val="false"/>
                <w:bCs w:val="false"/>
                <w:sz w:val="24"/>
                <w:szCs w:val="24"/>
              </w:rPr>
              <w:t xml:space="preserve">декларации и код процедуры</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w:t>
            </w:r>
          </w:p>
          <w:p>
            <w:pPr>
              <w:jc w:val="center"/>
            </w:pPr>
            <w:r>
              <w:rPr>
                <w:rFonts w:ascii="Arial" w:cs="Arial" w:eastAsia="Arial" w:hAnsi="Arial"/>
                <w:b w:val="false"/>
                <w:bCs w:val="false"/>
                <w:sz w:val="24"/>
                <w:szCs w:val="24"/>
              </w:rPr>
              <w:t xml:space="preserve">измерения</w:t>
            </w:r>
          </w:p>
          <w:p>
            <w:pPr>
              <w:jc w:val="center"/>
            </w:pPr>
            <w:r>
              <w:rPr>
                <w:rFonts w:ascii="Arial" w:cs="Arial" w:eastAsia="Arial" w:hAnsi="Arial"/>
                <w:sz w:val="24"/>
                <w:szCs w:val="24"/>
              </w:rPr>
              <w:t xml:space="preserve"/>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w:t>
            </w:r>
          </w:p>
          <w:p>
            <w:pPr>
              <w:jc w:val="center"/>
            </w:pPr>
            <w:r>
              <w:rPr>
                <w:rFonts w:ascii="Arial" w:cs="Arial" w:eastAsia="Arial" w:hAnsi="Arial"/>
                <w:b w:val="false"/>
                <w:bCs w:val="false"/>
                <w:sz w:val="24"/>
                <w:szCs w:val="24"/>
              </w:rPr>
              <w:t xml:space="preserve">в таможенных документах</w:t>
            </w:r>
          </w:p>
          <w:p>
            <w:pPr>
              <w:jc w:val="center"/>
            </w:pPr>
            <w:r>
              <w:rPr>
                <w:rFonts w:ascii="Arial" w:cs="Arial" w:eastAsia="Arial" w:hAnsi="Arial"/>
                <w:sz w:val="24"/>
                <w:szCs w:val="24"/>
              </w:rPr>
              <w:t xml:space="preserve"/>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w:t>
            </w:r>
          </w:p>
          <w:p>
            <w:pPr>
              <w:jc w:val="center"/>
            </w:pPr>
            <w:r>
              <w:rPr>
                <w:rFonts w:ascii="Arial" w:cs="Arial" w:eastAsia="Arial" w:hAnsi="Arial"/>
                <w:b w:val="false"/>
                <w:bCs w:val="false"/>
                <w:sz w:val="24"/>
                <w:szCs w:val="24"/>
              </w:rPr>
              <w:t xml:space="preserve">в таможенных документах</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w:t>
            </w:r>
          </w:p>
          <w:p>
            <w:pPr>
              <w:jc w:val="center"/>
            </w:pPr>
            <w:r>
              <w:rPr>
                <w:rFonts w:ascii="Arial" w:cs="Arial" w:eastAsia="Arial" w:hAnsi="Arial"/>
                <w:b w:val="false"/>
                <w:bCs w:val="false"/>
                <w:sz w:val="24"/>
                <w:szCs w:val="24"/>
              </w:rPr>
              <w:t xml:space="preserve">в таможенных документах</w:t>
            </w:r>
          </w:p>
        </w:tc>
      </w:tr>
      <w:tr>
        <w:tc>
          <w:tcPr>
            <w:tcW w:type="dxa" w:w="32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2</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3</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4</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5</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6</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7</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8</w:t>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9</w:t>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10</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11</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12</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13</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14</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15</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_________________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w:t>
      </w:r>
    </w:p>
    <w:p>
      <w:pPr>
        <w:spacing w:after="120"/>
        <w:jc w:val="center"/>
      </w:pPr>
      <w:r>
        <w:rPr>
          <w:rFonts w:ascii="Arial" w:cs="Arial" w:eastAsia="Arial" w:hAnsi="Arial"/>
          <w:b w:val="false"/>
          <w:bCs w:val="false"/>
          <w:sz w:val="24"/>
          <w:szCs w:val="24"/>
        </w:rPr>
        <w:t xml:space="preserve">М. 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w:t>
      </w:r>
    </w:p>
    <w:p>
      <w:pPr>
        <w:spacing w:after="120"/>
        <w:jc w:val="right"/>
      </w:pPr>
      <w:r>
        <w:rPr>
          <w:rFonts w:ascii="Arial" w:cs="Arial" w:eastAsia="Arial" w:hAnsi="Arial"/>
          <w:b w:val="false"/>
          <w:bCs w:val="false"/>
          <w:sz w:val="24"/>
          <w:szCs w:val="24"/>
        </w:rPr>
        <w:t xml:space="preserve">от «___» _____________________ 20__ г. № __________________</w:t>
      </w:r>
    </w:p>
    <w:p>
      <w:pPr>
        <w:spacing w:after="120"/>
        <w:jc w:val="left"/>
      </w:pPr>
      <w:r>
        <w:rPr>
          <w:rFonts w:ascii="Arial" w:cs="Arial" w:eastAsia="Arial" w:hAnsi="Arial"/>
          <w:b w:val="false"/>
          <w:bCs w:val="false"/>
          <w:sz w:val="24"/>
          <w:szCs w:val="24"/>
        </w:rPr>
        <w:t xml:space="preserve">Оператор электронной торговли 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883"/>
        <w:gridCol w:w="883"/>
        <w:gridCol w:w="883"/>
        <w:gridCol w:w="883"/>
        <w:gridCol w:w="883"/>
        <w:gridCol w:w="905"/>
        <w:gridCol w:w="905"/>
        <w:gridCol w:w="905"/>
        <w:gridCol w:w="622"/>
        <w:gridCol w:w="622"/>
        <w:gridCol w:w="622"/>
        <w:gridCol w:w="622"/>
      </w:tblGrid>
      <w:tr>
        <w:tc>
          <w:tcPr>
            <w:tcW w:type="dxa" w:w="56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4415"/>
            <w:gridSpan w:val="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Приход</w:t>
            </w:r>
          </w:p>
        </w:tc>
        <w:tc>
          <w:tcPr>
            <w:tcW w:type="dxa" w:w="271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Расход</w:t>
            </w:r>
          </w:p>
        </w:tc>
        <w:tc>
          <w:tcPr>
            <w:tcW w:type="dxa" w:w="248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Номер и дата документа временного хранения</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Получатель по общей накладной</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грузовых мест</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товара (в кг или в дополнительных единицах измерения)</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Дата истечения срока временного хранения</w:t>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грузовых мест</w:t>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товара (в кг или в дополнительных единицах измерения)</w:t>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Вид, дата и номер документа, по которому разрешена выдача</w:t>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Наименование товара</w:t>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грузовых мест</w:t>
            </w:r>
          </w:p>
        </w:tc>
        <w:tc>
          <w:tcPr>
            <w:tcW w:type="dxa" w:w="62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товара (в кг или в дополнительных единицах измерения)</w:t>
            </w:r>
          </w:p>
        </w:tc>
      </w:tr>
      <w:tr>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_________________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w:t>
      </w:r>
    </w:p>
    <w:p>
      <w:pPr>
        <w:spacing w:after="120"/>
        <w:jc w:val="center"/>
      </w:pPr>
      <w:r>
        <w:rPr>
          <w:rFonts w:ascii="Arial" w:cs="Arial" w:eastAsia="Arial" w:hAnsi="Arial"/>
          <w:sz w:val="24"/>
          <w:szCs w:val="24"/>
        </w:rPr>
        <w:t xml:space="preserve">М. П.</w:t>
      </w:r>
    </w:p>
    <w:p>
      <w:pPr>
        <w:spacing w:after="120"/>
        <w:jc w:val="left"/>
      </w:pPr>
      <w:r>
        <w:rPr>
          <w:rFonts w:ascii="Arial" w:cs="Arial" w:eastAsia="Arial" w:hAnsi="Arial"/>
          <w:sz w:val="24"/>
          <w:szCs w:val="24"/>
        </w:rPr>
        <w:t xml:space="preserve">(*) Отчет представляется оператором электронной торговли ежемесячно до 15 числа, следующего 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Свидетельство № ХХХХ/ОЭТ</w:t>
      </w:r>
    </w:p>
    <w:p>
      <w:pPr>
        <w:tabs>
          <w:tab w:val="right" w:pos="10178"/>
        </w:tabs>
        <w:spacing w:after="120"/>
      </w:pPr>
      <w:r>
        <w:rPr>
          <w:rFonts w:ascii="Arial" w:cs="Arial" w:eastAsia="Arial" w:hAnsi="Arial"/>
          <w:b w:val="false"/>
          <w:bCs w:val="false"/>
          <w:sz w:val="24"/>
          <w:szCs w:val="24"/>
        </w:rPr>
        <w:t xml:space="preserve">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_____________________</w:t>
      </w:r>
    </w:p>
    <w:p>
      <w:pPr>
        <w:spacing w:after="120"/>
        <w:jc w:val="left"/>
      </w:pPr>
      <w:r>
        <w:rPr>
          <w:rFonts w:ascii="Arial" w:cs="Arial" w:eastAsia="Arial" w:hAnsi="Arial"/>
          <w:sz w:val="24"/>
          <w:szCs w:val="24"/>
        </w:rPr>
        <w:t xml:space="preserve">М. П.(Оттиск гербовой печати)</w:t>
      </w:r>
    </w:p>
    <w:p>
      <w:pPr>
        <w:spacing w:after="120"/>
        <w:jc w:val="left"/>
      </w:pPr>
      <w:r>
        <w:rPr>
          <w:rFonts w:ascii="Arial" w:cs="Arial" w:eastAsia="Arial" w:hAnsi="Arial"/>
          <w:sz w:val="24"/>
          <w:szCs w:val="24"/>
        </w:rPr>
        <w:t xml:space="preserve">Примечание. Сфера деятельности оператора электронной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geh1psu4u99oifinvuvd" Type="http://schemas.openxmlformats.org/officeDocument/2006/relationships/hyperlink" Target="http://kodeks.duckdns.org/document/112301#st_13" TargetMode="External"/><Relationship Id="rIdfvxbz0ito17ts8wjo8e-x" Type="http://schemas.openxmlformats.org/officeDocument/2006/relationships/hyperlink" Target="http://kodeks.duckdns.org/document/112301#st_17" TargetMode="External"/><Relationship Id="rIdwdktjsim6nxen5nrifknw" Type="http://schemas.openxmlformats.org/officeDocument/2006/relationships/hyperlink" Target="http://kodeks.duckdns.org/document/157558" TargetMode="External"/><Relationship Id="rId7gg40efccanlcffdhrfqa" Type="http://schemas.openxmlformats.org/officeDocument/2006/relationships/hyperlink" Target="http://kodeks.duckdns.org/document/157564" TargetMode="External"/><Relationship Id="rIdhph87fzphgcdwdia4ppvv" Type="http://schemas.openxmlformats.org/officeDocument/2006/relationships/hyperlink" Target="http://kodeks.duckdns.org/document/157565" TargetMode="External"/><Relationship Id="rIdatuowwhf3zb4_auuz8ili" Type="http://schemas.openxmlformats.org/officeDocument/2006/relationships/hyperlink" Target="http://kodeks.duckdns.org/document/230048257" TargetMode="External"/><Relationship Id="rIdseqgcdcfwc8z6zh9-vso2" Type="http://schemas.openxmlformats.org/officeDocument/2006/relationships/hyperlink" Target="http://kodeks.duckdns.org/document/230048272" TargetMode="External"/><Relationship Id="rIdewxvztg0hpkxpqjdim7vi" Type="http://schemas.openxmlformats.org/officeDocument/2006/relationships/hyperlink" Target="http://kodeks.duckdns.org/document/157559" TargetMode="External"/><Relationship Id="rId29m8rgsgsosgukjjp8jg7" Type="http://schemas.openxmlformats.org/officeDocument/2006/relationships/hyperlink" Target="http://kodeks.duckdns.org/document/157558" TargetMode="External"/><Relationship Id="rIdirygjohntyldzhlejnmfs" Type="http://schemas.openxmlformats.org/officeDocument/2006/relationships/hyperlink" Target="http://kodeks.duckdns.org/document/157560" TargetMode="External"/><Relationship Id="rIduo9rbizgdowyygkimm-hl" Type="http://schemas.openxmlformats.org/officeDocument/2006/relationships/hyperlink" Target="http://kodeks.duckdns.org/document/157558" TargetMode="External"/><Relationship Id="rId6srwsd7g2io9kape_-de-" Type="http://schemas.openxmlformats.org/officeDocument/2006/relationships/hyperlink" Target="http://kodeks.duckdns.org/document/157562" TargetMode="External"/><Relationship Id="rIdfwgyjttygvn9yrgs_mwlh" Type="http://schemas.openxmlformats.org/officeDocument/2006/relationships/hyperlink" Target="http://kodeks.duckdns.org/document/157558" TargetMode="External"/><Relationship Id="rIdotb4jrpc3no6omjn1txkf" Type="http://schemas.openxmlformats.org/officeDocument/2006/relationships/hyperlink" Target="http://kodeks.duckdns.org/document/230048250" TargetMode="External"/><Relationship Id="rIdyoaja4qb5zc3ucxohrymw" Type="http://schemas.openxmlformats.org/officeDocument/2006/relationships/hyperlink" Target="http://kodeks.duckdns.org/document/157563" TargetMode="External"/><Relationship Id="rIdbcqkf9agyrpkwpevao208" Type="http://schemas.openxmlformats.org/officeDocument/2006/relationships/hyperlink" Target="http://kodeks.duckdns.org/document/157558" TargetMode="External"/><Relationship Id="rId10y75nuscw7578be1qwmj" Type="http://schemas.openxmlformats.org/officeDocument/2006/relationships/hyperlink" Target="http://kodeks.duckdns.org/document/157564" TargetMode="External"/><Relationship Id="rIdk0rnu35bph1rqzakezplo" Type="http://schemas.openxmlformats.org/officeDocument/2006/relationships/hyperlink" Target="http://kodeks.duckdns.org/document/157558" TargetMode="External"/><Relationship Id="rId3cnjo8jnxlfkqu4woskp0" Type="http://schemas.openxmlformats.org/officeDocument/2006/relationships/hyperlink" Target="http://kodeks.duckdns.org/document/157565" TargetMode="External"/><Relationship Id="rIdjqx07csqqese0cu7b1k7m" Type="http://schemas.openxmlformats.org/officeDocument/2006/relationships/hyperlink" Target="http://kodeks.duckdns.org/document/157558" TargetMode="External"/><Relationship Id="rIdwc7oegrfwwag09wq_bag8" Type="http://schemas.openxmlformats.org/officeDocument/2006/relationships/hyperlink" Target="http://kodeks.duckdns.org/document/157566" TargetMode="External"/><Relationship Id="rIdds9zrplc81o3vujmt6ycs" Type="http://schemas.openxmlformats.org/officeDocument/2006/relationships/hyperlink" Target="http://kodeks.duckdns.org/document/157558" TargetMode="External"/><Relationship Id="rIdofmltzpj4ukle08-ulkda" Type="http://schemas.openxmlformats.org/officeDocument/2006/relationships/hyperlink" Target="http://kodeks.duckdns.org/document/157558" TargetMode="External"/><Relationship Id="rIdlsvrsijtihxpuir9bucqz" Type="http://schemas.openxmlformats.org/officeDocument/2006/relationships/hyperlink" Target="http://kodeks.duckdns.org/document/157570" TargetMode="External"/><Relationship Id="rIdvve5ghm9t5zqkijv9iaaq" Type="http://schemas.openxmlformats.org/officeDocument/2006/relationships/hyperlink" Target="http://kodeks.duckdns.org/document/157558" TargetMode="External"/><Relationship Id="rId5oxm5lics7mzvez-2lkid" Type="http://schemas.openxmlformats.org/officeDocument/2006/relationships/hyperlink" Target="http://kodeks.duckdns.org/document/430966" TargetMode="External"/><Relationship Id="rIdo7re3w-ruuy7udpys_rae" Type="http://schemas.openxmlformats.org/officeDocument/2006/relationships/hyperlink" Target="http://kodeks.duckdns.org/document/430965" TargetMode="External"/><Relationship Id="rIdi097ugz9_dkpxhg3zq1sf" Type="http://schemas.openxmlformats.org/officeDocument/2006/relationships/hyperlink" Target="http://kodeks.duckdns.org/document/430966" TargetMode="External"/><Relationship Id="rIdbpldcdpy0frpignwoav7m" Type="http://schemas.openxmlformats.org/officeDocument/2006/relationships/hyperlink" Target="http://kodeks.duckdns.org/document/99065" TargetMode="External"/><Relationship Id="rId2ezuitlvhawid3znexnmn" Type="http://schemas.openxmlformats.org/officeDocument/2006/relationships/hyperlink" Target="http://kodeks.duckdns.org/document/99963" TargetMode="External"/><Relationship Id="rIdcnzemr1p3ujhcjrjhhu5h" Type="http://schemas.openxmlformats.org/officeDocument/2006/relationships/hyperlink" Target="http://kodeks.duckdns.org/document/99865" TargetMode="External"/><Relationship Id="rIdpl8lut0stgdhckcrwt9tn" Type="http://schemas.openxmlformats.org/officeDocument/2006/relationships/hyperlink" Target="http://kodeks.duckdns.org/document/159501"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2026-09-23T10:10:10.193Z</dcterms:created>
  <dcterms:modified xsi:type="dcterms:W3CDTF">2026-09-23T10:10:10.193Z</dcterms:modified>
</cp:coreProperties>
</file>

<file path=docProps/custom.xml><?xml version="1.0" encoding="utf-8"?>
<Properties xmlns="http://schemas.openxmlformats.org/officeDocument/2006/custom-properties" xmlns:vt="http://schemas.openxmlformats.org/officeDocument/2006/docPropsVTypes"/>
</file>