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24 сентября 2025 года № 3457-VII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изменения в Кодекс Кыргызской Республики о неналоговых доходах"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доходах", инициированный Председателем Кабинета Министров Кыргызской Республики (исх. № 18-5605 от 30 мая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Ж.Садырбаева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gkwtfgca01whtqubap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dalil.kg/document/230048309</w:t>
      </w:r>
    </w:hyperlink>
  </w:p>
  <w:p>
    <w:pPr>
      <w:spacing w:after="0" w:before="40"/>
      <w:jc w:val="center"/>
    </w:pPr>
    <w:hyperlink w:history="1" r:id="rIdyzsm4rdftidi2q15dlv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gkwtfgca01whtqubapzq" Type="http://schemas.openxmlformats.org/officeDocument/2006/relationships/hyperlink" Target="https://dalil.kg/document/230048309" TargetMode="External"/><Relationship Id="rIdyzsm4rdftidi2q15dlvu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2026-09-27T08:48:53.339Z</dcterms:created>
  <dcterms:modified xsi:type="dcterms:W3CDTF">2026-09-27T08:48:53.339Z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