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197-т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tjnsgkgu9x99zjx_woj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от </w:t>
      </w:r>
      <w:r>
        <w:rPr>
          <w:rFonts w:ascii="Arial" w:cs="Arial" w:eastAsia="Arial" w:hAnsi="Arial"/>
          <w:sz w:val="24"/>
          <w:szCs w:val="24"/>
        </w:rPr>
        <w:t xml:space="preserve">21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, в соответствии с частью 2 </w:t>
      </w:r>
      <w:hyperlink w:history="1" r:id="rIddggr1rgxyd0vxy9qcc8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31 приложения № 25 к Договору о Евразийском экономическом союзе, статьями </w:t>
      </w:r>
      <w:hyperlink w:history="1" r:id="rIdaqw7u_g99owaipvvkgp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x6zeluqdqc6s8-oun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hziobeamen9dovcrq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марта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165-т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«осуществляют закупки товаров</w:t>
      </w:r>
      <w:r>
        <w:rPr>
          <w:rFonts w:ascii="Arial" w:cs="Arial" w:eastAsia="Arial" w:hAnsi="Arial"/>
          <w:sz w:val="24"/>
          <w:szCs w:val="24"/>
        </w:rPr>
        <w:t xml:space="preserve">, указанных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«обязаны закупать товары</w:t>
      </w:r>
      <w:r>
        <w:rPr>
          <w:rFonts w:ascii="Arial" w:cs="Arial" w:eastAsia="Arial" w:hAnsi="Arial"/>
          <w:sz w:val="24"/>
          <w:szCs w:val="24"/>
        </w:rPr>
        <w:t xml:space="preserve">, указанные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</w:t>
      </w:r>
      <w:r>
        <w:rPr>
          <w:rFonts w:ascii="Arial" w:cs="Arial" w:eastAsia="Arial" w:hAnsi="Arial"/>
          <w:sz w:val="24"/>
          <w:szCs w:val="24"/>
        </w:rPr>
        <w:t xml:space="preserve"> случае отсутствия возможности у производителей Кыргызской Республики произвести необходим</w:t>
      </w:r>
      <w:r>
        <w:rPr>
          <w:rFonts w:ascii="Arial" w:cs="Arial" w:eastAsia="Arial" w:hAnsi="Arial"/>
          <w:sz w:val="24"/>
          <w:szCs w:val="24"/>
        </w:rPr>
        <w:t xml:space="preserve">ую техническую спецификацию, характеристику или</w:t>
      </w:r>
      <w:r>
        <w:rPr>
          <w:rFonts w:ascii="Arial" w:cs="Arial" w:eastAsia="Arial" w:hAnsi="Arial"/>
          <w:sz w:val="24"/>
          <w:szCs w:val="24"/>
        </w:rPr>
        <w:t xml:space="preserve"> объем</w:t>
      </w:r>
      <w:r>
        <w:rPr>
          <w:rFonts w:ascii="Arial" w:cs="Arial" w:eastAsia="Arial" w:hAnsi="Arial"/>
          <w:sz w:val="24"/>
          <w:szCs w:val="24"/>
        </w:rPr>
        <w:t xml:space="preserve">указанных в перечне товаров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 приложении к </w:t>
      </w:r>
      <w:r>
        <w:rPr>
          <w:rFonts w:ascii="Arial" w:cs="Arial" w:eastAsia="Arial" w:hAnsi="Arial"/>
          <w:sz w:val="24"/>
          <w:szCs w:val="24"/>
        </w:rPr>
        <w:t xml:space="preserve">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Строительные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дополнить 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338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</w:t>
      </w:r>
      <w:r>
        <w:rPr>
          <w:rFonts w:ascii="Arial" w:cs="Arial" w:eastAsia="Arial" w:hAnsi="Arial"/>
          <w:sz w:val="24"/>
          <w:szCs w:val="24"/>
        </w:rPr>
        <w:t xml:space="preserve">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8"/>
        <w:gridCol w:w="4551"/>
        <w:gridCol w:w="2169"/>
        <w:gridCol w:w="2300"/>
      </w:tblGrid>
      <w:tr>
        <w:tc>
          <w:tcPr>
            <w:tcW w:type="dxa" w:w="11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Стальная арматура класса А500С 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7 214 20 000 0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Строительные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390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–390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5"/>
        <w:gridCol w:w="4476"/>
        <w:gridCol w:w="1699"/>
        <w:gridCol w:w="3088"/>
      </w:tblGrid>
      <w:tr>
        <w:tc>
          <w:tcPr>
            <w:tcW w:type="dxa" w:w="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из отсевов дробления крупный, класса Ⅰ, полученный при производстве щебня (месторождение «Аламединское») 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 смеси фракций от 5 до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мм, группы Ⅰ, марки дробимости 1000, по истираемости И-1, полученный при дроблении гравия (месторождение «Аламединское»)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2517 10 100 0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перекрытий железобетонные многопустотные для зданий и сооружений 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СВ95-2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105-3,5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бетона класса В25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
 СВ105-3,5А500С, 
 СВ95-2А500С из бетона класса В25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класса В35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классов В7,5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
 В10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В20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В22,5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В30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железобетонные для круглых колодцев канализации и водопровода из бетона класса В20 Ж1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ЛР8 из бетона класса В22,5 П2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для оросительных систем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ЛР10 из бетона класса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В22,5 П2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для оросительных систем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6810 99 000 0</w:t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Пролетные строения без диафрагм длиной 18 метров из железобетонных балок таврового сечения с ненапрягаемой арматурой для автодорожных мостов марки Б1-18-3 из бетона класса В25 П3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6810 99 000 0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железобетонные безнапорные марок ТР 40.30-2, ТР 60.40-2, ТР 80.40-2,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 100.30-2, ТР 140.25-1 из бетона класса В30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бетонные для стен подвалов типа ФБС 24.4.6-Т, ФБС 24.5.6-Т, из бетона класса В7,5 П1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6810 91 000 0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пустотелый размерами 250х120х88 мм формата 1НФ, марки по прочности М150, класса средней плотности 1.4, марки по морозостойкости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0.81.29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6904 10 000 0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 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«Машиностроение, электрооборудование»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483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–483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5"/>
        <w:gridCol w:w="5762"/>
        <w:gridCol w:w="1364"/>
        <w:gridCol w:w="1867"/>
      </w:tblGrid>
      <w:tr>
        <w:tc>
          <w:tcPr>
            <w:tcW w:type="dxa" w:w="11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Электротрицикл трехколесный грузовой, приводимый в движение электрическим двигателем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30.91.0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8711 60 900 0</w:t>
            </w:r>
          </w:p>
        </w:tc>
      </w:tr>
      <w:tr>
        <w:tc>
          <w:tcPr>
            <w:tcW w:type="dxa" w:w="11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 ручной и для автомашин диски-щетки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32.91.19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3926 90 920 0</w:t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"Одежда и швейные изделия" дополнить пунктами 525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- 525-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9"/>
        <w:gridCol w:w="5385"/>
        <w:gridCol w:w="1364"/>
        <w:gridCol w:w="2369"/>
      </w:tblGrid>
      <w:tr>
        <w:tc>
          <w:tcPr>
            <w:tcW w:type="dxa" w:w="1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6302 31 000 9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Занавески, шторы и гардины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6303 92 900 0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стеганые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9404 40 000 9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Летний форменный комплект (костюм, брюки, кепи)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6203 29 110 0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 форменные с капюшоном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6201 99 000 0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Куртки, утепленные в комплекте с комбинезоном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6203 23 100 0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</w:tr>
      <w:tr>
        <w:tc>
          <w:tcPr>
            <w:tcW w:type="dxa" w:w="10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 форменные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Хозяйственные товары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569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–569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5"/>
        <w:gridCol w:w="5089"/>
        <w:gridCol w:w="2032"/>
        <w:gridCol w:w="2032"/>
      </w:tblGrid>
      <w:tr>
        <w:tc>
          <w:tcPr>
            <w:tcW w:type="dxa" w:w="10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полов «Aqua Lux» Цветочный, Лимон, Свежесть океана, полимерные емкости 1,0 л; 5,0 л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«Белизна», полимерные емкости 1,0 л; 5,0 л; 10,0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«Белизна Лимон», полимерные емкости 
 1,0 л; 5,0 л; 10,0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«Гель «Белизна», полимерные емкости 1,0 л; 5,0 л;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л; 20,0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прочистки канализационных труб «Мистер Крот», полимерные емкости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 л; 1,0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«Aqua Lux Антижир»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полимерная емкость 250 мл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«Aqua Антижир», «Антижир Шуманит»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полимерная емкость 250 мл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«Fox»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полимерная емкость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«Элиме Яблоко», «Элиме Лимон», полимерные емкости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0,5 л;1,0 л; 1,8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жира «Антижир Казан», полимерная емкость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чистящий порошок на основе хлора «Fox»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нетто 500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Чистящий порошок на основе хлора «Aqua Lux эффект», «Aqua Lux Лимон», «Aqua Lux Яблоко», «Aqua Lux Зимняя свежесть»,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нетто 500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чистящий «Fox»,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накипи «Aqua Lux Антинакипин», полимерные емкости 0,5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ванной комнаты «Fox Антиналет»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«Aqua Lux Лимон», «Aqua Lux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
 1,0 л; 5 л; 20,0 л; 30,0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«Fox Лимон», «Fox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0,5 л; 1,0 л; 1,8 л;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«Glay Лимон», «Glay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«Пчелка Апельсин», «Пчелка Яблоко», «Пчелка Мята», «Пчелка Вишня»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л;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л; 1,8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«Красная цена Лимона», «Красная цена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«Aqua Lux Морской бриз», «Aqua Lux Экзотика»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0,5 л; 0,75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Цветущий сад», «Fox Морская свежесть», полимерные емкости 0,5 л; 0,75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без ароматизаторов и красителей «Aqua Lux», полимерные емкости 5,0 л;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л; 20,0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
 «Bibi Яблоко»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1,0 л; 1,8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кухни 
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Антиналет»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полимерная емкость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 для белья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1,0 л; 1,5 л; 3,0 л; 0,5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Универсал Убойная сила»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0,75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 Универсал Супер эффект», полимерные емкости 0,75 л; 5,0 л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унитаза «Tezzy», полимерные емкости 0,75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порошкообразное для удаления засоров в трубах «Мистер Крот», полимерные пакеты, нетто 90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 Премиум», полимерные емкости 0,5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моющее универсальное без ароматизирующих добавок и красителей, полимерные емкости 10,0 л; 20,0 л; 30,0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полимерные емкости 1,0 л; 1,3 л; 1,5 л; 3,0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«Пчелка», полимерные емкости 1,0 л; 1,3 л; 1,5 л; 3,0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стирки «Panda», полимерные емкости 1,0 л; 1,3 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1,5 л; 3,0 л; 5,0 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пятновыводитель отбеливатель «Пчелка», полимерные емкости, нетто 500 г; 1000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Освежитель воздуха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Fox», объем 420 мл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посудомоечных машин «Aqua Lux», полимерные емкости 5,0 л; 10,0 л; 20,0 л; 30,0 л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Гель-концентрат для мытья посуды «Aqua Lux»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полимерные емкости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1,0 л; 5,0 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0,0 л 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Чистящая универсальная паста, нетто 500 г; 1 000 г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Медали, значки, ордена, жетоны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32.11.0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7114200000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Полипропиленовые мешки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46.11.0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6305331001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</w:t>
      </w:r>
      <w:r>
        <w:rPr>
          <w:rFonts w:ascii="Arial" w:cs="Arial" w:eastAsia="Arial" w:hAnsi="Arial"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» дополнить пунктами 628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–628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5"/>
        <w:gridCol w:w="5089"/>
        <w:gridCol w:w="2032"/>
        <w:gridCol w:w="2032"/>
      </w:tblGrid>
      <w:tr>
        <w:tc>
          <w:tcPr>
            <w:tcW w:type="dxa" w:w="10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туши и полутуши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020110000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провести необходимые процедуры, связанные с уведомлением государств-членов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j18ildnbbgvcdvof4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dalil.kg/document/230048398</w:t>
      </w:r>
    </w:hyperlink>
  </w:p>
  <w:p>
    <w:pPr>
      <w:spacing w:after="0" w:before="40"/>
      <w:jc w:val="center"/>
    </w:pPr>
    <w:hyperlink w:history="1" r:id="rIdxmcedgbousfqmxwyi-o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nsgkgu9x99zjx_woj_-" Type="http://schemas.openxmlformats.org/officeDocument/2006/relationships/hyperlink" Target="https://dalil.kg/document/230021134" TargetMode="External"/><Relationship Id="rIddggr1rgxyd0vxy9qcc8w7" Type="http://schemas.openxmlformats.org/officeDocument/2006/relationships/hyperlink" Target="https://dalil.kg/document/112361#st_4" TargetMode="External"/><Relationship Id="rIdaqw7u_g99owaipvvkgp7m" Type="http://schemas.openxmlformats.org/officeDocument/2006/relationships/hyperlink" Target="https://dalil.kg/document/112301#st_13" TargetMode="External"/><Relationship Id="rIdn1x6zeluqdqc6s8-oun5r" Type="http://schemas.openxmlformats.org/officeDocument/2006/relationships/hyperlink" Target="https://dalil.kg/document/112301#st_17" TargetMode="External"/><Relationship Id="rIdkhziobeamen9dovcrqzgv" Type="http://schemas.openxmlformats.org/officeDocument/2006/relationships/hyperlink" Target="https://dalil.kg/document/2300244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j18ildnbbgvcdvof4e2" Type="http://schemas.openxmlformats.org/officeDocument/2006/relationships/hyperlink" Target="https://dalil.kg/document/230048398" TargetMode="External"/><Relationship Id="rIdxmcedgbousfqmxwyi-o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2026-09-24T08:51:40.393Z</dcterms:created>
  <dcterms:modified xsi:type="dcterms:W3CDTF">2026-09-24T08:51:40.393Z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