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Счетной палате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mlt-zlmk0lb8ffxiv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Счетной палате Кыргызской Республики» (газета «Эркин-Тоо» от 6 июня 2023 года № 45)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государственный аудит –</w:t>
      </w:r>
      <w:r>
        <w:rPr>
          <w:rFonts w:ascii="Arial" w:cs="Arial" w:eastAsia="Arial" w:hAnsi="Arial"/>
          <w:sz w:val="24"/>
          <w:szCs w:val="24"/>
        </w:rPr>
        <w:t xml:space="preserve"> комплекс мер по анализу, оценке и проверке исполнения республиканского и местных бюджетов, внебюджетных средств, эффективности использования бюджетных и внебюджетных средств, государственной и муниципальной собственности;»;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3, 4, 5 и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22 и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(онлайн) аудит –</w:t>
      </w:r>
      <w:r>
        <w:rPr>
          <w:rFonts w:ascii="Arial" w:cs="Arial" w:eastAsia="Arial" w:hAnsi="Arial"/>
          <w:sz w:val="24"/>
          <w:szCs w:val="24"/>
        </w:rPr>
        <w:t xml:space="preserve"> форма осуществления внешнего государственного аудита, основанного на анализе данных государственных цифровых технологических систем и иных цифровых информационных ресурсов без непосредственного выезда к субъекту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выездной аудит –</w:t>
      </w:r>
      <w:r>
        <w:rPr>
          <w:rFonts w:ascii="Arial" w:cs="Arial" w:eastAsia="Arial" w:hAnsi="Arial"/>
          <w:sz w:val="24"/>
          <w:szCs w:val="24"/>
        </w:rPr>
        <w:t xml:space="preserve"> форма осуществления внешнего государственного аудита, предусматривающая проведение аудита по месту нахождения субъекта аудита, которая выражается в документальной и фактической проверке соблюдения требований законодательства Кыргызской Республики в отношении совершенных финансовых и хозяйственных операций, достоверности и правильности их отражения в бухгалтерской (финансовой) и бюджетной отчетности.»;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«информационным системам» заменить словами «цифровым технологическим системам»;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получать доступ к государственным цифровым технологическим системам в целях проведения внешнего государственного аудита. Доступ Счетной палаты к государственным цифровым технологическим системам осуществляется с соблюдением требований законодательства Кыргызской Республики в сфере защиты персональных данных, информационной безопасности и конфиденциальности информации, а также обеспечением разграничения прав доступа и недопущения несанкционированного использования информации.»;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Счетная палата осуществляет внешний государственный аудит – аудит исполнения республиканского и местных бюджетов, внебюджетных средств, использования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внешнего государственного аудита Счетной палаты является изучение, анализ и оценка финансовой отчетности и учетной системы субъекта аудита на предмет соответствия требованиям законодательства и бухгалтерских стандартов, а также изучение и анализ вопросов повышения эффективности использования бюджетных и внебюджетных средств,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внешний аудит Счетной палаты осуществляется в виде финансового аудита, аудита соответствия, аудита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внешний аудит осуществляется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цифровой (онлайн) аудит;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выездной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цифрового (онлайн) аудита осуществляется в соответствии с законодательством Кыргызской Республики и является основной формой внешнего государственного аудита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для осуществления выездного аудита определяются Счетной палатой.»;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Финансовый аудит применяется в целях документальных проверок достоверности финансовых операций, бюджетного учета, бюджетной отчетности, целевого использования бюджетных и внебюджетных средств, проверок финансовой деятельности субъекта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финансового аудита в пределах компетенции Счетной палаты осуществляется проверка соблюдения бюджетного законодательства Кыргызской Республики, а также нормативных правовых актов, регулирующих бюджетные правоотношения.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соответствия применяется в пределах компетенции Счетной палаты в целях оценки, проверки соблюдения субъектом аудита норм законов и иных нормативных правовых актов Кыргызской Республики, а также актов, принятых субъектом аудита для их реализации, касающихся вопросов исполнения республиканского и местных бюджетов, внебюджетных средств, использования государственной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эффективности применяется в пределах компетенции Счетной палаты в целях определения эффективности использования средств республиканского и местных бюджетов, внебюджетных средств, государственной и муниципальной собственности, полученных субъектом аудита.»;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«Прохождение государственной гражданской службы в Счетной палате, оценка деятельности служащих»;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Оценка деятельности служащих Счетной палаты проводится в порядке, установленном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оценки деятельности служащих Счетной палаты учитываются при решении вопросов прохождения государственной гражданской службы в Счетной палате в порядке, предусмотренном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после слов «организации деятельности Счетной палаты» дополнить словами «, а также Стандарты внешнего государственного аудита»;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4 части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слова «информационным системам» заменить словами «цифровым технологическим системам»;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30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Счетная палата отмечает спорные вопросы в отчете об аудите.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аудита в случае несогласия с результатами внешнего государственного аудита в срок не более 10 рабочих дней со дня вручения (получения) подписанного аудиторского отчета и/или заключения имеет право направить в Счетную палату возражения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субъекта аудита рассматриваются Советом Счетной палаты в течение 10 рабочих дней со дня вручения (получения) возражения.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Счетной палаты при рассмотрении возражений проводится с участием представителей субъекта аудита и трех представителей Администрации Президента, которые назначаются Председателем Кабинета Министров – Руководителем Администрации Президента, а также двух депутатов – членов профильного комитета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Счетной палаты по результатам рассмотрения возражений субъекта аудита вправе внести соответствующие изменения в аудиторский отчет и/или заключение.»;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В целях исключения дублирования контрольных мероприятий и обеспечения эффективности использования государственных ресурсов проверка деятельности субъектов аудита осуществляется Счетной палатой в рамках внешнего государственного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Счетной палаты с правоохранительными органами осуществляется на основе принципа недопущения дублирования контрольных мероприятий путем предоставления по их запросам результатов аудиторских и экспертно-аналитических мероприятий, заключений, актов, а также иных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аудиторских и экспертно-аналитических мероприятий Счетной палаты подлежат учету правоохранительными органами при осуществлении ими своих полномочий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статью 32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Государственные органы, органы местного самоуправления и организации независимо от формы собственности, использующие средства бюджетной системы Кыргызской Республики, обязаны предоставлять Счетной палате документы, сведения и иные материалы, необходимые для осуществления внешнего государственного аудита, в том числе в цифровом (электронном) формате, обеспечивающем возможность их цифровой обработки.».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июля 2026 года № 55 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hzeei5q02pz_8xzxk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dalil.kg/document/230048679</w:t>
      </w:r>
    </w:hyperlink>
  </w:p>
  <w:p>
    <w:pPr>
      <w:spacing w:after="0" w:before="40"/>
      <w:jc w:val="center"/>
    </w:pPr>
    <w:hyperlink w:history="1" r:id="rId1t8numftxn6ivrwnkbc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lt-zlmk0lb8ffxiv4kz" Type="http://schemas.openxmlformats.org/officeDocument/2006/relationships/hyperlink" Target="https://dalil.kg/document/112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hzeei5q02pz_8xzxkb2" Type="http://schemas.openxmlformats.org/officeDocument/2006/relationships/hyperlink" Target="https://dalil.kg/document/230048679" TargetMode="External"/><Relationship Id="rId1t8numftxn6ivrwnkbc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2026-09-24T16:31:53.623Z</dcterms:created>
  <dcterms:modified xsi:type="dcterms:W3CDTF">2026-09-24T16:31:53.624Z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