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lj_zbfxtyk3bazlf17a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КР</w:t>
      </w:r>
      <w:r>
        <w:rPr>
          <w:rFonts w:ascii="Arial" w:cs="Arial" w:eastAsia="Arial" w:hAnsi="Arial"/>
          <w:sz w:val="24"/>
          <w:szCs w:val="24"/>
        </w:rPr>
        <w:t xml:space="preserve">от 3 июля 2026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получения Министерством юстиции Кыргызской Республики нормативных правовых актов (правовых актов) в Централизованный банк данных правовой информации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получения Министерством юстиции Кыргызской Республики нормативных правовых актов (правовых актов) в Централизованный банк данных правовой информации Кыргызской Республики (далее - Порядок) разработан в соответствии с </w:t>
      </w:r>
      <w:hyperlink w:history="1" r:id="rIdsyercs3jcpb5ofz_2a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fzowr_p8bhyi0taxwr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№ 56 и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характером, утвержденным </w:t>
      </w:r>
      <w:hyperlink w:history="1" r:id="rId6x4yt2kowox36-feurp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Централизованный банк данных правовой информации Кыргызской Республики (далее - ЦБДПИ) подлежат включению нормативные правовые акты (правовые акты), определенные пунктом 2 вышеназванного </w:t>
      </w:r>
      <w:hyperlink w:history="1" r:id="rIdvshhscb8zybuddovecv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опубликования нормативных правовых актов (правовых актов) в ЦБДПИ органами осуществившими их регистрацию необходимо предоставить: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(правовые акты) представляется в одном экземпляре на государственном и официальном языках, в соответствии с требованиями делопроизводства Кыргызской Республики посредством системы электронного документооборота в формате PDF и docx с указанием источника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системы электронного документооборота электронный вид документа в формате docx направляются посредством электронной связи на адрес электронной почты </w:t>
      </w:r>
      <w:r>
        <w:rPr>
          <w:rFonts w:ascii="Arial" w:cs="Arial" w:eastAsia="Arial" w:hAnsi="Arial"/>
          <w:sz w:val="24"/>
          <w:szCs w:val="24"/>
        </w:rPr>
        <w:t xml:space="preserve">npa@minjust.gov.kg</w:t>
      </w:r>
      <w:r>
        <w:rPr>
          <w:rFonts w:ascii="Arial" w:cs="Arial" w:eastAsia="Arial" w:hAnsi="Arial"/>
          <w:sz w:val="24"/>
          <w:szCs w:val="24"/>
        </w:rPr>
        <w:t xml:space="preserve">. При пересылке файлов с текстами нормативных правовых актов (правовых актов) по электронной почте в поле «Subject» («Предмет», «Тема») указываются реквизиты нормативного правового акта (правового акта). При этом, заверенная копия документа направляются почтовой связью.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официальном опубликовании нормативных правовых актов предоставляются в соответствии с порядком, установленным </w:t>
      </w:r>
      <w:hyperlink w:history="1" r:id="rIdfdew3ukos2a-xmorbu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(правовые акты) государственных органов и органов местного самоуправления возвращаются без опубликования в ЦБДПИ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требований, установленных пунктом 2 и 5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электронной формы нормативных правовых актов (правовых актов) в формате PDF и docx;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официально опубликованного текста документа с видом документа в формате PDF и docx;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текста документа в форматах PDF и docx.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при вводе нормативных правовых актов (правовых актов) в ЦБДПИ проверяет соответствие и идентичность структурных элементов в форматах PDF и docx версии без проведения проверки на тождественность текста (считки). В случае несоответствия текста формата PDF и docx, ответственность за их содержания и правильность оформления несет орган, направивший документ.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осуществившие регистрацию нормативных правовых актов (правовых актов), направляют нормативные правовые акты (правовые акты) в Министерство юстиции для опубликования в ЦБДПИ в течение 7 рабочих дней со дня подписания, с указанием информации об источнике его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самоуправления, осуществившие регистрацию нормативных правовых актов, направляют нормативные правовые акты в соответствующее территориальное подразделение Министерства юстиции для опубликования в ЦБДПИ в течение 7 рабочих дней со дня подписания с указанием информации об источнике его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при принятии нормативного правового акта на государственном языке указывают в сопроводительном письме решение представительного органа о допустимости его принятия исключительно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нормативных правовых актов органов местного самоуправления в ЦБДПИ осуществляется территориальными подразделениями Министерства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Оформление нормативных правовых актов (правовых актов) в электронной форме для представления в ЦБДПИ осуществляется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 (правовых актов) в электронной форме формируются в редакторе Microsoft Word, помещаются, как правило, в один файл и предоставляются в формате docx;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представленных текстах используется шрифт «Times New Roman» в государственном и официальном языках в обычном начертании, размер шрифта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электронная форма текстов нормативных правовых актов (правовых актов) оформляются с учетом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отступ в абзаце выполняется стандартными средствами, предусмотренными текстовыми редакторами, поддерживающими форматы, перечисленные в настоящем пункте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отделяются друг от друга одним символом «пробел»;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словом и последующим знаком препинания символ «пробел» не ставится;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знака препинания наличие символа «пробел» обязательно;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кавычки и скобки не отделяются от слов, в них заключенных;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обозначения кавычек используются символы «угловые кавычки»;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использование символа «дефис» для обозначения переносов, допускается использование автоматически формируемых «мягких» переносов;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буквы «ө», «ң» и «ү» используются только в текстах на государственном языке;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 «точка» не ставится в заголовке и подзаголовке, если он отделен от текста, а также в заголовке таблицы и внутри 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информация, которая на бумажном носителе расположена по столбцам, оформляется в текстовом файле в виде таблицы. Таблица выполняется стандартными средствами, предусмотренными текстовыми редакторами, поддерживающими форматы, перечисленные в настоящем пункте;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одной ячейке таблицы размещается одна единица информации. Таблица не должна содержать пустых строк и столбцов.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3izu8s_zxjoguwnd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dalil.kg/document/230048712</w:t>
      </w:r>
    </w:hyperlink>
  </w:p>
  <w:p>
    <w:pPr>
      <w:spacing w:after="0" w:before="40"/>
      <w:jc w:val="center"/>
    </w:pPr>
    <w:hyperlink w:history="1" r:id="rIdwt36cemnjf9z9adx2_b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_zbfxtyk3bazlf17a-s" Type="http://schemas.openxmlformats.org/officeDocument/2006/relationships/hyperlink" Target="https://dalil.kg/document/230048688" TargetMode="External"/><Relationship Id="rIdsyercs3jcpb5ofz_2az4y" Type="http://schemas.openxmlformats.org/officeDocument/2006/relationships/hyperlink" Target="https://dalil.kg/document/202591" TargetMode="External"/><Relationship Id="rIdfzowr_p8bhyi0taxwrloi" Type="http://schemas.openxmlformats.org/officeDocument/2006/relationships/hyperlink" Target="https://dalil.kg/document/2056" TargetMode="External"/><Relationship Id="rId6x4yt2kowox36-feurpa7" Type="http://schemas.openxmlformats.org/officeDocument/2006/relationships/hyperlink" Target="https://dalil.kg/document/230027754" TargetMode="External"/><Relationship Id="rIdvshhscb8zybuddovecvtb" Type="http://schemas.openxmlformats.org/officeDocument/2006/relationships/hyperlink" Target="https://dalil.kg/document/2056" TargetMode="External"/><Relationship Id="rIdfdew3ukos2a-xmorbupr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3izu8s_zxjoguwndoqh" Type="http://schemas.openxmlformats.org/officeDocument/2006/relationships/hyperlink" Target="https://dalil.kg/document/230048712" TargetMode="External"/><Relationship Id="rIdwt36cemnjf9z9adx2_b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2026-09-25T21:10:09.428Z</dcterms:created>
  <dcterms:modified xsi:type="dcterms:W3CDTF">2026-09-25T21:10:09.428Z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