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2026 года № 111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</w:t>
      </w:r>
      <w:r>
        <w:rPr>
          <w:rFonts w:ascii="Arial" w:cs="Arial" w:eastAsia="Arial" w:hAnsi="Arial"/>
          <w:sz w:val="24"/>
          <w:szCs w:val="24"/>
        </w:rPr>
        <w:t xml:space="preserve"> Р</w:t>
      </w:r>
      <w:r>
        <w:rPr>
          <w:rFonts w:ascii="Arial" w:cs="Arial" w:eastAsia="Arial" w:hAnsi="Arial"/>
          <w:sz w:val="24"/>
          <w:szCs w:val="24"/>
        </w:rPr>
        <w:t xml:space="preserve">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регулировании земельно-правовых отношений»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v8qsxcnszximso2td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(газета «Эркин-Тоо» от 5 апреля 2022 года № 32)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vwfkduuravl7uol_2y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«б»–«г» признать утратившими силу;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подпунктом «е» следующего содержания: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«е) входящие в состав группы участков с хаотичной застройкой, образованной до 1 декабря 2021 года, с находящимися на них индивидуальными жилыми домами, в том числе объектами незавершенного строительства, а также земельные участки, на которых отсутствуют какие-либо строения, по заявлениям граждан, которые были поданы до 1 июля 2025 года включительно;»;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признать утратившим силу;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7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земельные участки, входящие в состав группы участков с хаотичной застройкой,</w:t>
      </w:r>
      <w:r>
        <w:rPr>
          <w:rFonts w:ascii="Arial" w:cs="Arial" w:eastAsia="Arial" w:hAnsi="Arial"/>
          <w:sz w:val="24"/>
          <w:szCs w:val="24"/>
        </w:rPr>
        <w:t xml:space="preserve"> – совокупность земельных участков, на которых до 1 декабря 2021 года построены индивидуальные жилые дома (в том числе объекты незавершенного строительства), а также земельные участки, на которых отсутствуют какие-либо строения, требующие определения единых внешних границ, являющиеся смежными друг с другом и (или) территориально связанными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_k_e8zz5mqkbjf3ymym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Государственная комиссия по рассмотрению вопросов легализации земельных участков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Решением Президента Кыргызской Республики создается Государственная комиссия по рассмотрению вопросов легализации земельных участков (далее – Государственная комиссия).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комиссия рассматривает вопросы легализации земельных участков, входящих в состав группы участков с хаотичной застройкой, образованной до 1 декабря 2021 года, на которых отсутствуют какие-либо строения</w:t>
      </w:r>
      <w:r>
        <w:rPr>
          <w:rFonts w:ascii="Arial" w:cs="Arial" w:eastAsia="Arial" w:hAnsi="Arial"/>
          <w:sz w:val="24"/>
          <w:szCs w:val="24"/>
        </w:rPr>
        <w:t xml:space="preserve">, а также вопросы изъятия земельных участков в государственную собственность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работы Государственной комиссии определяется законодательством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yln1-_ztlvq6j359dkh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Земельные участки, указанные в статье 2 настоящего Закона, а также прилегающие к ним земли, фактически используемые в качестве путей сообщения либо для удовлетворения культурно-бытовых потребностей (дороги, улицы, тротуары, придорожные земельные полосы, зеленые насаждения, арычные и другие оросительные сети, расположенные и проходящие вдоль автомобильных дорог, проезды, лесопарки, парки отдыха, бульвары, скверы и другое), считаются переведенными (трансформированными) в категорию «Земли населенных пунктов» после принятия решения местной государственной администрацией или мэрией города об утверждении перечня земель, подпадающих под объекты земельной амнистии, за исключением садово-дачных земельных участков.».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решения в соответствие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июля 2026 года № 53 (3813)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prhb94qiee_a9uwvk6dy9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18 июня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8qsxcnszximso2tdpiw" Type="http://schemas.openxmlformats.org/officeDocument/2006/relationships/hyperlink" Target="http://kodeks.duckdns.org/document/112356" TargetMode="External"/><Relationship Id="rIdhvwfkduuravl7uol_2yf6" Type="http://schemas.openxmlformats.org/officeDocument/2006/relationships/hyperlink" Target="http://kodeks.duckdns.org/document/112356#st_2" TargetMode="External"/><Relationship Id="rId_k_e8zz5mqkbjf3ymymtz" Type="http://schemas.openxmlformats.org/officeDocument/2006/relationships/hyperlink" Target="http://kodeks.duckdns.org/document/112356#st_5_1" TargetMode="External"/><Relationship Id="rIdyln1-_ztlvq6j359dkh6q" Type="http://schemas.openxmlformats.org/officeDocument/2006/relationships/hyperlink" Target="http://kodeks.duckdns.org/document/112356#st_10" TargetMode="External"/><Relationship Id="rIdprhb94qiee_a9uwvk6dy9" Type="http://schemas.openxmlformats.org/officeDocument/2006/relationships/hyperlink" Target="http://kodeks.duckdns.org/document/23004762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2026-09-23T11:04:02.998Z</dcterms:created>
  <dcterms:modified xsi:type="dcterms:W3CDTF">2026-09-23T11:04:02.998Z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