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2026 года № 484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 в сфере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временного регулирования ввоза и вывоза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нефти и нефтепродуктов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стабильного функционирования внутреннего рынка нефти и нефтепродуктов Кыргызской Республики, защиты энергетической безопасности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недопущения возникновения дефицита нефтепродуктов, бесперебойного снабжения внутренних потребностей, </w:t>
      </w:r>
      <w:r>
        <w:rPr>
          <w:rFonts w:ascii="Arial" w:cs="Arial" w:eastAsia="Arial" w:hAnsi="Arial"/>
          <w:sz w:val="24"/>
          <w:szCs w:val="24"/>
        </w:rPr>
        <w:t xml:space="preserve">в соответствии со статьями 29, 47 Договора о Евразийском экономическом союзе от 29 мая 2014 года, статьями </w:t>
      </w:r>
      <w:hyperlink w:history="1" r:id="rIdofiq2bj29da4-pw3wsj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hmm1qmrgvgtm8nngdc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 </w:t>
      </w: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1. Внести в </w:t>
      </w:r>
      <w:hyperlink w:history="1" r:id="rIdz8r1prafzp-7ojowyblid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Правительства Кыргызской Республики «О введении временного запрета на ввоз на территорию Кыргызской Республики автотранспортом некоторых видов нефти и нефтепродуктов» от 22 октября 2019 года № 566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Приостановить действие пунктов 1 и 2 настоящего постановления на период с 25 мая 2026 года по 1 апреля 2027 года включительно.».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yitbri-yhgatzg1pbv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введении временного запрета на вывоз (экспорт) нефти и нефтепродуктов из Кыргызской Республики за пределы таможенной территории Евразийского экономического союза» от 1 марта 2021 года № 66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наименование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введении временного запрета на вывоз нефти и нефтепродуктов из Кыргызской Республики»;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в преамбуле цифры «46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заменить цифрами «29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пункты 1, 2, 3, 4, 5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«1. Установить временный запрет на вывоз из Кыргызской Республики до насыщения внутренного рынка или формирования общих рынков нефти и нефтепродуктов Евразийского экономического союза </w:t>
      </w:r>
      <w:r>
        <w:rPr>
          <w:rFonts w:ascii="Arial" w:cs="Arial" w:eastAsia="Arial" w:hAnsi="Arial"/>
          <w:sz w:val="24"/>
          <w:szCs w:val="24"/>
        </w:rPr>
        <w:t xml:space="preserve">автомобильным и железнодорожным транспортом нефти (классифицируемой кодом 2709 ТН ВЭД ЕАЭС) и нефтепродуктов (классифицируемых кодом 2710 ТН ВЭД ЕАЭС</w:t>
      </w:r>
      <w:r>
        <w:rPr>
          <w:rFonts w:ascii="Arial" w:cs="Arial" w:eastAsia="Arial" w:hAnsi="Arial"/>
          <w:sz w:val="24"/>
          <w:szCs w:val="24"/>
        </w:rPr>
        <w:t xml:space="preserve">),</w:t>
      </w:r>
      <w:r>
        <w:rPr>
          <w:rFonts w:ascii="Arial" w:cs="Arial" w:eastAsia="Arial" w:hAnsi="Arial"/>
          <w:sz w:val="24"/>
          <w:szCs w:val="24"/>
        </w:rPr>
        <w:t xml:space="preserve"> за исключением</w:t>
      </w:r>
      <w:r>
        <w:rPr>
          <w:rFonts w:ascii="Arial" w:cs="Arial" w:eastAsia="Arial" w:hAnsi="Arial"/>
          <w:sz w:val="24"/>
          <w:szCs w:val="24"/>
        </w:rPr>
        <w:t xml:space="preserve"> нафты, </w:t>
      </w:r>
      <w:r>
        <w:rPr>
          <w:rFonts w:ascii="Arial" w:cs="Arial" w:eastAsia="Arial" w:hAnsi="Arial"/>
          <w:sz w:val="24"/>
          <w:szCs w:val="24"/>
        </w:rPr>
        <w:t xml:space="preserve">мазута</w:t>
      </w:r>
      <w:r>
        <w:rPr>
          <w:rFonts w:ascii="Arial" w:cs="Arial" w:eastAsia="Arial" w:hAnsi="Arial"/>
          <w:sz w:val="24"/>
          <w:szCs w:val="24"/>
        </w:rPr>
        <w:t xml:space="preserve"> и печного топлива </w:t>
      </w:r>
      <w:r>
        <w:rPr>
          <w:rFonts w:ascii="Arial" w:cs="Arial" w:eastAsia="Arial" w:hAnsi="Arial"/>
          <w:sz w:val="24"/>
          <w:szCs w:val="24"/>
        </w:rPr>
        <w:t xml:space="preserve">(классифицируемых кодом 2710 ТН ВЭД ЕАЭС</w:t>
      </w:r>
      <w:r>
        <w:rPr>
          <w:rFonts w:ascii="Arial" w:cs="Arial" w:eastAsia="Arial" w:hAnsi="Arial"/>
          <w:sz w:val="24"/>
          <w:szCs w:val="24"/>
        </w:rPr>
        <w:t xml:space="preserve">), </w:t>
      </w:r>
      <w:r>
        <w:rPr>
          <w:rFonts w:ascii="Arial" w:cs="Arial" w:eastAsia="Arial" w:hAnsi="Arial"/>
          <w:sz w:val="24"/>
          <w:szCs w:val="24"/>
        </w:rPr>
        <w:t xml:space="preserve">вывозимых по решению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помещаем</w:t>
      </w:r>
      <w:r>
        <w:rPr>
          <w:rFonts w:ascii="Arial" w:cs="Arial" w:eastAsia="Arial" w:hAnsi="Arial"/>
          <w:sz w:val="24"/>
          <w:szCs w:val="24"/>
        </w:rPr>
        <w:t xml:space="preserve">ых</w:t>
      </w:r>
      <w:r>
        <w:rPr>
          <w:rFonts w:ascii="Arial" w:cs="Arial" w:eastAsia="Arial" w:hAnsi="Arial"/>
          <w:sz w:val="24"/>
          <w:szCs w:val="24"/>
        </w:rPr>
        <w:t xml:space="preserve"> под </w:t>
      </w:r>
      <w:r>
        <w:rPr>
          <w:rFonts w:ascii="Arial" w:cs="Arial" w:eastAsia="Arial" w:hAnsi="Arial"/>
          <w:sz w:val="24"/>
          <w:szCs w:val="24"/>
        </w:rPr>
        <w:t xml:space="preserve">таможенную процедуру</w:t>
      </w:r>
      <w:r>
        <w:rPr>
          <w:rFonts w:ascii="Arial" w:cs="Arial" w:eastAsia="Arial" w:hAnsi="Arial"/>
          <w:sz w:val="24"/>
          <w:szCs w:val="24"/>
        </w:rPr>
        <w:t xml:space="preserve"> переработки вне таможенной территории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 обязательным последующим</w:t>
      </w:r>
      <w:r>
        <w:rPr>
          <w:rFonts w:ascii="Arial" w:cs="Arial" w:eastAsia="Arial" w:hAnsi="Arial"/>
          <w:sz w:val="24"/>
          <w:szCs w:val="24"/>
        </w:rPr>
        <w:t xml:space="preserve"> обратным</w:t>
      </w:r>
      <w:r>
        <w:rPr>
          <w:rFonts w:ascii="Arial" w:cs="Arial" w:eastAsia="Arial" w:hAnsi="Arial"/>
          <w:sz w:val="24"/>
          <w:szCs w:val="24"/>
        </w:rPr>
        <w:t xml:space="preserve"> ввозом на территорию Кыргызской Республики продуктов</w:t>
      </w:r>
      <w:r>
        <w:rPr>
          <w:rFonts w:ascii="Arial" w:cs="Arial" w:eastAsia="Arial" w:hAnsi="Arial"/>
          <w:sz w:val="24"/>
          <w:szCs w:val="24"/>
        </w:rPr>
        <w:t xml:space="preserve"> их</w:t>
      </w:r>
      <w:r>
        <w:rPr>
          <w:rFonts w:ascii="Arial" w:cs="Arial" w:eastAsia="Arial" w:hAnsi="Arial"/>
          <w:sz w:val="24"/>
          <w:szCs w:val="24"/>
        </w:rPr>
        <w:t xml:space="preserve"> переработки.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2. </w:t>
      </w:r>
      <w:r>
        <w:rPr>
          <w:rFonts w:ascii="Arial" w:cs="Arial" w:eastAsia="Arial" w:hAnsi="Arial"/>
          <w:sz w:val="24"/>
          <w:szCs w:val="24"/>
        </w:rPr>
        <w:t xml:space="preserve">Требования, предусмотренные пунктом 1 настоящего постановления, не распространяются на нефтепродукты, вывозимые с территории Кыргызской Республики, находящиеся в штатных топливных баках </w:t>
      </w:r>
      <w:r>
        <w:rPr>
          <w:rFonts w:ascii="Arial" w:cs="Arial" w:eastAsia="Arial" w:hAnsi="Arial"/>
          <w:sz w:val="24"/>
          <w:szCs w:val="24"/>
        </w:rPr>
        <w:t xml:space="preserve">транспортных</w:t>
      </w:r>
      <w:r>
        <w:rPr>
          <w:rFonts w:ascii="Arial" w:cs="Arial" w:eastAsia="Arial" w:hAnsi="Arial"/>
          <w:sz w:val="24"/>
          <w:szCs w:val="24"/>
        </w:rPr>
        <w:t xml:space="preserve"> средств, установленных в соответствии с требованиями Технического регламента Таможенного союза «О безопасности колесных транспортных средств» (ТР ТС 018/2011)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Министерству экономики и коммерции Кыргызской Республики в установленном порядке уведомить Комитет по защитным мерам Всемирной торговой организации и Евразийскую экономическую комиссию о введении временного запрета, указанного в пунктах 1, 2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иностранных дел Кыргызской Республики в установленном порядке уведомить Исполнительный комитет Содружества Независимых Государств о введении временного запрета, указанного в пунктах 1, 2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таможенной службе при Кабинете Министров Кыргызской Республики и Государственной пограничной службе Кыргызской Республики принять меры, направленные на пресечение незаконного вывоза товаров, указанных в пунктах 1, 2 настоящего постановления.».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17 июля 2026 года № 53 (3813)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-p1ijl-74lw9a8tix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dalil.kg/document/230048823</w:t>
      </w:r>
    </w:hyperlink>
  </w:p>
  <w:p>
    <w:pPr>
      <w:spacing w:after="0" w:before="40"/>
      <w:jc w:val="center"/>
    </w:pPr>
    <w:hyperlink w:history="1" r:id="rIdg0wavcnj_toa5_-4btr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iq2bj29da4-pw3wsjpu" Type="http://schemas.openxmlformats.org/officeDocument/2006/relationships/hyperlink" Target="https://dalil.kg/document/112301#st_13" TargetMode="External"/><Relationship Id="rIdqhmm1qmrgvgtm8nngdcsq" Type="http://schemas.openxmlformats.org/officeDocument/2006/relationships/hyperlink" Target="https://dalil.kg/document/112301#st_17" TargetMode="External"/><Relationship Id="rIdz8r1prafzp-7ojowyblid" Type="http://schemas.openxmlformats.org/officeDocument/2006/relationships/hyperlink" Target="https://dalil.kg/document/157207" TargetMode="External"/><Relationship Id="rIdsyitbri-yhgatzg1pbvpv" Type="http://schemas.openxmlformats.org/officeDocument/2006/relationships/hyperlink" Target="https://dalil.kg/document/15808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-p1ijl-74lw9a8tixvo" Type="http://schemas.openxmlformats.org/officeDocument/2006/relationships/hyperlink" Target="https://dalil.kg/document/230048823" TargetMode="External"/><Relationship Id="rIdg0wavcnj_toa5_-4btri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2026-09-24T22:15:58.296Z</dcterms:created>
  <dcterms:modified xsi:type="dcterms:W3CDTF">2026-09-24T22:15:58.296Z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