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Приложение 1 к </w:t>
      </w:r>
      <w:hyperlink w:history="1" r:id="rIdyftsegf7wnirj-u6zz9e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
 о Государственном реестре национальных паспортов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граждан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реестре национальных паспортов граждан Кыргызской Республики (далее – Положение) определяет правовой статус, порядок формирования и использования Государственного реестра национальных паспортов граждан Кыргызской Республики (далее – Государственный реестр).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является государственным цифровым ресурсом, обеспечивающим сбор, обработку, хранение, поиск, использование и предоставление в установленном порядке информации о действительных национальных паспортах граждан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Государственного реестра формируется на основе сведений об изготовленных/персонифицированных национальных паспортах граждан Кыргызской Республики и используется для формирования и актуализации Единого государственного реестра населения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ведется на государственном и официальном языках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Владельцем Государственного реестра является уполномоченный государственный орган, осуществляющий функции по разработке и реализации государственной политики в области регистрации населения (далее – уполномоченный орган).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Обработчиком Государственного реестра является государственное учреждение, находящееся в ведении уполномоченного органа и осуществляющее обработку информации о действительных и недействительных национальных паспортах граждан Кыргызской Республики на основании договора с владельцем Государственного реестра.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Термины и определения, используемые в настоящем Положении, применяются в значениях, установленных Цифровым кодексом Кыргызской Республики и нормативными правовыми актами, регулирующими вопросы национальных паспортов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Информация, включаемая в Государственный реестр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включает персональные данные граждан Кыргызской Республики, которые имеют следующую структуру: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действительных национальных паспортах граждан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национального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персональный идентификационный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отчество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 органа, выдавшего документ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окончания;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этническая принадлежность;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цифровое изображение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</w:t>
      </w:r>
      <w:r>
        <w:rPr>
          <w:rFonts w:ascii="Arial" w:cs="Arial" w:eastAsia="Arial" w:hAnsi="Arial"/>
          <w:sz w:val="24"/>
          <w:szCs w:val="24"/>
        </w:rPr>
        <w:t xml:space="preserve"> на момент регистрационного учета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место жительства на момент получения национального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семейное положение на момент обновления записей актов о регистрации/расторжении брака;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 на момент получения национального паспорта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причина получения (обмена) национального паспорта гражданина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недействительных национальных паспортах граждан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национального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персональный идентификационный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отчество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 органа, выдавшего документ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окончания;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этническая принадлежность;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цифровое изображение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причина получения (обмена) национального паспорта гражданина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Государственном реестре указываются основания и дата признания недействительными национальных паспортов граждан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</w:t>
      </w:r>
      <w:r>
        <w:rPr>
          <w:rFonts w:ascii="Arial" w:cs="Arial" w:eastAsia="Arial" w:hAnsi="Arial"/>
          <w:sz w:val="24"/>
          <w:szCs w:val="24"/>
        </w:rPr>
        <w:t xml:space="preserve"> Порядок использования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Представление информации о действительных национальных паспортах граждан Кыргызской Республики из Государственного реестра осуществляется обработчиком в порядке, утверждаемом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Информация, содержащаяся в Государственном реестре, подлежит защите в соответствии с </w:t>
      </w:r>
      <w:hyperlink w:history="1" r:id="rIdtwha8ikthiyyrbq0ocy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Требований 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данных» от 2 июня 2026 года № 384.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хранения информации в Государственном реестре составляет 75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Актуализация сведений, содержащихся в Государственном реестре, осуществляется в соответствии </w:t>
      </w:r>
      <w:hyperlink w:history="1" r:id="rIdaaynoe57e-rcnhnlcz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75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разглашение, а также за неправомерную и недостоверную передачу информации, содержащейся в Государственном реестре, работники обработчика несут ответственность в соответствии с трудовым законодательством Кыргызской Республики, а также законодательством Кыргызской Республики в сфере правонарушений.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yjuhnifilsl9mqk1n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dalil.kg/document/230048868</w:t>
      </w:r>
    </w:hyperlink>
  </w:p>
  <w:p>
    <w:pPr>
      <w:spacing w:after="0" w:before="40"/>
      <w:jc w:val="center"/>
    </w:pPr>
    <w:hyperlink w:history="1" r:id="rId2vo1dwsd9tu1jz7uqa2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tsegf7wnirj-u6zz9et" Type="http://schemas.openxmlformats.org/officeDocument/2006/relationships/hyperlink" Target="https://dalil.kg/document/230048863" TargetMode="External"/><Relationship Id="rIdtwha8ikthiyyrbq0ocyo5" Type="http://schemas.openxmlformats.org/officeDocument/2006/relationships/hyperlink" Target="https://dalil.kg/document/230046827" TargetMode="External"/><Relationship Id="rIdaaynoe57e-rcnhnlczkhw" Type="http://schemas.openxmlformats.org/officeDocument/2006/relationships/hyperlink" Target="https://dalil.kg/document/230029914#st_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yjuhnifilsl9mqk1nhr" Type="http://schemas.openxmlformats.org/officeDocument/2006/relationships/hyperlink" Target="https://dalil.kg/document/230048868" TargetMode="External"/><Relationship Id="rId2vo1dwsd9tu1jz7uqa2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2026-09-25T15:28:19.508Z</dcterms:created>
  <dcterms:modified xsi:type="dcterms:W3CDTF">2026-09-25T15:28:19.508Z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