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Порядок предоставления информации из Государственного реестра национальных паспортов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</w:t>
      </w:r>
      <w:r>
        <w:rPr>
          <w:rFonts w:ascii="Arial" w:cs="Arial" w:eastAsia="Arial" w:hAnsi="Arial"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предоставления информации из Государственного реестра национальных паспортов граждан Кыргызской Республики (далее – Порядок) разработан в целях обеспечения финансовых учреждений (далее – пользователи), предусмотренных </w:t>
      </w:r>
      <w:hyperlink w:history="1" r:id="rIdkhjuqnzoe75kq-ozj24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противодействии финансированию преступной деятельности и легализации (отмыванию) преступных доходов», актуальной информацией о действительных идентификационных картах-паспортах граждан Кыргызской Республики (далее – ID-карта) посредством электронного сервиса обработчика Государственного реестра национальных паспортов граждан Кыргызской Республики (далее – Государственный реестр).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определяет последовательность действий при предоставлении пользователям информации из Государственного реестра, устанавливает и определяет порядок взаимодействия пользователей с владельцем и обработчиком в целях обеспечения пользователей актуальной информацией из Государственного реестра.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Владельцем Государственного реестра является уполномоченный государственный орган, осуществляющий функции по разработке и реализации государственной политики в области регистрации населения (далее – владелец).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Термины и определения, используемые в настоящем Порядке, применяются в значениях, установленных Цифровым кодексом Кыргызской Республики.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</w:t>
      </w:r>
      <w:r>
        <w:rPr>
          <w:rFonts w:ascii="Arial" w:cs="Arial" w:eastAsia="Arial" w:hAnsi="Arial"/>
          <w:sz w:val="24"/>
          <w:szCs w:val="24"/>
        </w:rPr>
        <w:t xml:space="preserve"> Взаимодействие и порядок предоставления пользователям информации из Государственного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Информация, содержащаяся в Государственном реестре, предоставляется пользователям на условиях, определенных в соглашении, заключаемом между владельцем, обработчиком и пользователем, на платной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предоставления информации определяется в соответствии с </w:t>
      </w:r>
      <w:hyperlink w:history="1" r:id="rIdhjwruvucvns2jscejj8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(работы), утвержденным </w:t>
      </w:r>
      <w:hyperlink w:history="1" r:id="rIdhagpo7brlxmj3p-t4k2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qefsvaxg0fwaxjra21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(работы)» от 26 октября 2000 года № 637.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Типовой образец соглашения утверждается владельцем Государственного реестра.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имеет право делегировать обработчику полномочия по утверждению типового образца соглашения и заключению соглашений с пользователями.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Порядок взаимодействия по организационно-техническим вопросам и предоставления информации из Государственного реестра определяется в соглашении, заключаемом в соответствии с настоящим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Предоставление информации из Государственного реестра осуществляется обработчиком посредством веб-сервисов, портала электронных услуг и (или) системы межведомственного электронного взаимодействия «Тундук».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Предоставление информации из Государственного реестра посредством веб-сервисов осуществляется при наличии у пользователя программно-аппаратных средств, предназначенных для осуществления информационного взаимодействия по защищенным каналам связи в режиме онлайн.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В случае отсутствия технической оснащенности пользователя предоставление информации из Государственного реестра осуществляется посредством Государственного портала электронных услуг по выделенным обработчиком защищенным каналам 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Предоставление информации из Государственного реестра осуществляется при наличии согласия субъекта персональных данных, полученного в порядке и по форме, утвержденными уполномоченным государственным органом в сфере защиты персональных данных, на передачу его персональных данных пользователю.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Предоставление информации из Государственного реестра осуществляется в режиме «запрос – ответ».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Введенный запрос обрабатывается информационной системой, при наличии совпадений пользователю предоставляется информация о субъекте персональных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формирования запроса пользователь: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получает согласие субъекта персональных данных на передачу его персональных данных в соответствии с порядком и формой, указанными в пункте 11 настоящего Порядка;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вводит в информационную систему персональный идентификационный номер гражданина (далее – ПИН)</w:t>
      </w:r>
      <w:r>
        <w:rPr>
          <w:rFonts w:ascii="Arial" w:cs="Arial" w:eastAsia="Arial" w:hAnsi="Arial"/>
          <w:sz w:val="24"/>
          <w:szCs w:val="24"/>
        </w:rPr>
        <w:t xml:space="preserve">, серию </w:t>
      </w:r>
      <w:r>
        <w:rPr>
          <w:rFonts w:ascii="Arial" w:cs="Arial" w:eastAsia="Arial" w:hAnsi="Arial"/>
          <w:sz w:val="24"/>
          <w:szCs w:val="24"/>
        </w:rPr>
        <w:t xml:space="preserve">и номер ID-карты;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подтверждает в информационной системе получение от субъекта персональных данных согласия на передачу его персональных данных путем проставления отметки.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ответ по запрошенным ПИН, серии и номеру ID-карты предоставляются следующие персональные данные: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тип национального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ПИН;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отчество (при наличии);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место рождения;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серия и </w:t>
      </w:r>
      <w:r>
        <w:rPr>
          <w:rFonts w:ascii="Arial" w:cs="Arial" w:eastAsia="Arial" w:hAnsi="Arial"/>
          <w:sz w:val="24"/>
          <w:szCs w:val="24"/>
        </w:rPr>
        <w:t xml:space="preserve">номер ID-карты;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код органа, выдавшего ID-карту;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выдачи;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окончания;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цифровое изображение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жительства на момент получения ID-карты;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место жительства на момент регистрационного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семейное положение на момент получения ID-карты;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семейное положение на момент обновления записей актов о регистрации/расторжении брака.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Информация из Государственного реестра предоставляется для подтверждения сведений, представленных пользователю субъектом персональных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Обработчик и пользователь ежемесячно производят сверку полученных от субъектов персональных данных согласий на передачу их персональных данных со статистикой предоставленных сведений из Государственного реестра в соответствии с порядком, утвержденным обработчиком.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В случае выявления владельцем или обработчиком фактов несанкционированного получения информации пользователем из Государственного реестра при отсутствии согласия субъекта на передачу его персональных данных обработчик принимает меры в виде полного прекращения предоставления информации из Государственного реестра с последующим расторжением заключенного соглашения и направляет соответствующие материалы в уполномоченный государственный орган в сфере защиты персональных данных.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</w:t>
      </w:r>
      <w:r>
        <w:rPr>
          <w:rFonts w:ascii="Arial" w:cs="Arial" w:eastAsia="Arial" w:hAnsi="Arial"/>
          <w:sz w:val="24"/>
          <w:szCs w:val="24"/>
        </w:rPr>
        <w:t xml:space="preserve"> Ответственность за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использование информации из Государственного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Лица, ответственные за ведение Государственного реестра, несут персональную ответственность за полноту, достоверность и целостность информации, а также неразглашение в соответствии с уголовным законодательством Кыргызской Республики и законодательством Кыргызской Республики в сфере правонарушений.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При наличии в Государственном реестре недостоверных и неактуальных сведений обработчик принимает меры по их актуализации.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Пользователь персональных данных несет ответственность в соответствии с законодательством Кыргызской Республики в сфере правонарушений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необеспечение конфиденциальности полученных сведений персонального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несоблюдение требований по защите полученных сведений персонального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разглашение, распространение, использование сведений персонального характера в личных целях сотрудниками пользователя либо несанкционированную передачу третьим лицам сведений персонального характера.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Лица, которым персональные данные стали известны в силу их служебного положения, принимают на себя обязательства и несут ответственность за обеспечение конфиденциальности этих персональных данных.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wjm1gf-mnqkd_qk6n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dalil.kg/document/230048879</w:t>
      </w:r>
    </w:hyperlink>
  </w:p>
  <w:p>
    <w:pPr>
      <w:spacing w:after="0" w:before="40"/>
      <w:jc w:val="center"/>
    </w:pPr>
    <w:hyperlink w:history="1" r:id="rId1nnlfzysg2y-lprwu4d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juqnzoe75kq-ozj24iy" Type="http://schemas.openxmlformats.org/officeDocument/2006/relationships/hyperlink" Target="https://dalil.kg/document/111822#st_5" TargetMode="External"/><Relationship Id="rIdhjwruvucvns2jscejj8jp" Type="http://schemas.openxmlformats.org/officeDocument/2006/relationships/hyperlink" Target="https://dalil.kg/document/7735" TargetMode="External"/><Relationship Id="rIdhagpo7brlxmj3p-t4k20y" Type="http://schemas.openxmlformats.org/officeDocument/2006/relationships/hyperlink" Target="https://dalil.kg/document/7734" TargetMode="External"/><Relationship Id="rIdrqefsvaxg0fwaxjra21zg" Type="http://schemas.openxmlformats.org/officeDocument/2006/relationships/hyperlink" Target="https://dalil.kg/document/77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wjm1gf-mnqkd_qk6nwj" Type="http://schemas.openxmlformats.org/officeDocument/2006/relationships/hyperlink" Target="https://dalil.kg/document/230048879" TargetMode="External"/><Relationship Id="rId1nnlfzysg2y-lprwu4d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2026-09-24T18:05:13.718Z</dcterms:created>
  <dcterms:modified xsi:type="dcterms:W3CDTF">2026-09-24T18:05:13.718Z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