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9"/>
        <w:jc w:val="right"/>
      </w:pPr>
      <w:r>
        <w:rPr>
          <w:rFonts w:ascii="Arial" w:cs="Arial" w:eastAsia="Arial" w:hAnsi="Arial"/>
          <w:sz w:val="24"/>
          <w:szCs w:val="24"/>
        </w:rPr>
        <w:t xml:space="preserve">Приложение 1</w:t>
      </w:r>
    </w:p>
    <w:p>
      <w:pPr>
        <w:spacing w:after="120"/>
        <w:ind w:firstLine="709"/>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hyperlink w:history="1" r:id="rIdpw_oyidk0m_z4doupyayc">
        <w:r>
          <w:rPr>
            <w:rFonts w:ascii="Arial" w:cs="Arial" w:eastAsia="Arial" w:hAnsi="Arial"/>
            <w:i/>
            <w:iCs/>
            <w:color w:val="1D4ED8"/>
            <w:sz w:val="24"/>
            <w:szCs w:val="24"/>
            <w:u w:val="single"/>
          </w:rPr>
          <w:t xml:space="preserve">постановлению</w:t>
        </w:r>
      </w:hyperlink>
    </w:p>
    <w:p>
      <w:pPr>
        <w:spacing w:after="120"/>
        <w:jc w:val="right"/>
      </w:pPr>
      <w:r>
        <w:rPr>
          <w:rFonts w:ascii="Arial" w:cs="Arial" w:eastAsia="Arial" w:hAnsi="Arial"/>
          <w:i/>
          <w:iCs/>
          <w:sz w:val="24"/>
          <w:szCs w:val="24"/>
        </w:rPr>
        <w:t xml:space="preserve">Кабинета Министров</w:t>
      </w:r>
    </w:p>
    <w:p>
      <w:pPr>
        <w:spacing w:after="120"/>
        <w:jc w:val="right"/>
      </w:pPr>
      <w:r>
        <w:rPr>
          <w:rFonts w:ascii="Arial" w:cs="Arial" w:eastAsia="Arial" w:hAnsi="Arial"/>
          <w:i/>
          <w:iCs/>
          <w:sz w:val="24"/>
          <w:szCs w:val="24"/>
        </w:rPr>
        <w:t xml:space="preserve">Кыргызской Республики</w:t>
      </w:r>
    </w:p>
    <w:p>
      <w:pPr>
        <w:spacing w:after="120"/>
        <w:jc w:val="right"/>
      </w:pPr>
      <w:r>
        <w:rPr>
          <w:rFonts w:ascii="Arial" w:cs="Arial" w:eastAsia="Arial" w:hAnsi="Arial"/>
          <w:i/>
          <w:iCs/>
          <w:sz w:val="24"/>
          <w:szCs w:val="24"/>
        </w:rPr>
        <w:t xml:space="preserve">от 18 июля 2026 года № 497)</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требованиях к деятельности депозитария, оказывающего услуги накопительным пенсионным фондам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Депозитарием может быть только юридическое лицо, имеющее лицензию на осуществление депозитарной профессиональной деятельности по ценным бумагам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2. Депозитарий не может использовать ценные бумаги накопительных пенсионных фондов (далее – НПФ) для других целей, в том числе кредитных и валютных операций, а также для оплаты своих долгов и прочих обязательств.</w:t>
      </w:r>
    </w:p>
    <w:p>
      <w:pPr>
        <w:spacing w:after="120"/>
        <w:ind w:firstLine="709"/>
        <w:jc w:val="both"/>
      </w:pPr>
      <w:r>
        <w:rPr>
          <w:rFonts w:ascii="Arial" w:cs="Arial" w:eastAsia="Arial" w:hAnsi="Arial"/>
          <w:sz w:val="24"/>
          <w:szCs w:val="24"/>
        </w:rPr>
        <w:t xml:space="preserve">3. Депозитарий не является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pPr>
        <w:spacing w:after="120"/>
        <w:ind w:firstLine="709"/>
        <w:jc w:val="both"/>
      </w:pPr>
      <w:r>
        <w:rPr>
          <w:rFonts w:ascii="Arial" w:cs="Arial" w:eastAsia="Arial" w:hAnsi="Arial"/>
          <w:sz w:val="24"/>
          <w:szCs w:val="24"/>
        </w:rPr>
        <w:t xml:space="preserve">4. Депозитарий должен соблюдать требования законодательства Кыргызской Республики в сфере рынка ценных бумаг, а также соответствующих договоров с НПФ и управляющими компаниями.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Функциональные обязанности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Депозитарий осуществляет свои функции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Учет прав на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Учет прав на ценные бумаги и учет перехода прав на ценные бумаги, в которые инвестированы средства пенсионных накоплений, по каждому договору доверительного управления осуществляются на отдельном счете депо, открытом депозитарием на имя соответствующей управляющей компании. На указанных счетах депо не осуществляется учет прав на ценные бумаги, приобретенные за счет имущества, находящегося у управляющей компании по иным основаниям, не связанным с инвестированием средств пенсионных накоплений.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Хранение документов и документооборот</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Депозитарий хранит:</w:t>
      </w:r>
    </w:p>
    <w:p>
      <w:pPr>
        <w:spacing w:after="120"/>
        <w:ind w:firstLine="709"/>
        <w:jc w:val="both"/>
      </w:pPr>
      <w:r>
        <w:rPr>
          <w:rFonts w:ascii="Arial" w:cs="Arial" w:eastAsia="Arial" w:hAnsi="Arial"/>
          <w:sz w:val="24"/>
          <w:szCs w:val="24"/>
        </w:rPr>
        <w:t xml:space="preserve">1) копии договоров доверительного управления средствами пенсионных накоплений, заключенных НПФ с управляющими компаниями, копии документов с изменениями, внесенными в указанные договоры, а также копии документов, подтверждающих прекращение указанных договоров;</w:t>
      </w:r>
    </w:p>
    <w:p>
      <w:pPr>
        <w:spacing w:after="120"/>
        <w:ind w:firstLine="709"/>
        <w:jc w:val="both"/>
      </w:pPr>
      <w:r>
        <w:rPr>
          <w:rFonts w:ascii="Arial" w:cs="Arial" w:eastAsia="Arial" w:hAnsi="Arial"/>
          <w:sz w:val="24"/>
          <w:szCs w:val="24"/>
        </w:rPr>
        <w:t xml:space="preserve">2) копии договоров, на основании которых осуществляется размещение средств пенсионных накоплений, копии документов с изменениями, внесенными в указанные договоры, а также копии документов, подтверждающих прекращение указанных договоров;</w:t>
      </w:r>
    </w:p>
    <w:p>
      <w:pPr>
        <w:spacing w:after="120"/>
        <w:ind w:firstLine="709"/>
        <w:jc w:val="both"/>
      </w:pPr>
      <w:r>
        <w:rPr>
          <w:rFonts w:ascii="Arial" w:cs="Arial" w:eastAsia="Arial" w:hAnsi="Arial"/>
          <w:sz w:val="24"/>
          <w:szCs w:val="24"/>
        </w:rPr>
        <w:t xml:space="preserve">3) копии документов, подтверждающих предварительное согласие депозитария на распоряжение средствами пенсионных накоплений.</w:t>
      </w:r>
    </w:p>
    <w:p>
      <w:pPr>
        <w:spacing w:after="120"/>
        <w:ind w:firstLine="709"/>
        <w:jc w:val="both"/>
      </w:pPr>
      <w:r>
        <w:rPr>
          <w:rFonts w:ascii="Arial" w:cs="Arial" w:eastAsia="Arial" w:hAnsi="Arial"/>
          <w:sz w:val="24"/>
          <w:szCs w:val="24"/>
        </w:rPr>
        <w:t xml:space="preserve">8. Депозитарий осуществляет учет прав на ценные бумаги и хранение сертификатов документарных ценных бумаг, в которые инвестированы средства пенсионных накоплений, обособленно от ценных бумаг других клиентов (депонентов), в том числе иного инвестиционного портфеля управляющих компаний, заключивших с НПФ договоры доверительного управления средствами пенсионных накоплений.</w:t>
      </w:r>
    </w:p>
    <w:p>
      <w:pPr>
        <w:spacing w:after="120"/>
        <w:ind w:firstLine="709"/>
        <w:jc w:val="both"/>
      </w:pPr>
      <w:r>
        <w:rPr>
          <w:rFonts w:ascii="Arial" w:cs="Arial" w:eastAsia="Arial" w:hAnsi="Arial"/>
          <w:sz w:val="24"/>
          <w:szCs w:val="24"/>
        </w:rPr>
        <w:t xml:space="preserve">9. Депозитарий ведет учет документов (их копий), полученных и переданных им при осуществлении своей деятельности, с указанием даты их получения и (или) даты передачи.</w:t>
      </w:r>
    </w:p>
    <w:p>
      <w:pPr>
        <w:spacing w:after="120"/>
        <w:ind w:firstLine="709"/>
        <w:jc w:val="both"/>
      </w:pPr>
      <w:r>
        <w:rPr>
          <w:rFonts w:ascii="Arial" w:cs="Arial" w:eastAsia="Arial" w:hAnsi="Arial"/>
          <w:sz w:val="24"/>
          <w:szCs w:val="24"/>
        </w:rPr>
        <w:t xml:space="preserve">10. Хранение документов (их копий), предусмотренных пунктом 7, осуществляется в течение 5 (пяти) лет после истечения срока их действия.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Внутренние правила</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Внутренние правила депозитария должны исчерпывающим образом описывать процедуру осуществления функций депозитария и содержать:</w:t>
      </w:r>
    </w:p>
    <w:p>
      <w:pPr>
        <w:spacing w:after="120"/>
        <w:ind w:firstLine="709"/>
        <w:jc w:val="both"/>
      </w:pPr>
      <w:r>
        <w:rPr>
          <w:rFonts w:ascii="Arial" w:cs="Arial" w:eastAsia="Arial" w:hAnsi="Arial"/>
          <w:sz w:val="24"/>
          <w:szCs w:val="24"/>
        </w:rPr>
        <w:t xml:space="preserve">1) процедуры осуществления депозитарной деятельности;</w:t>
      </w:r>
    </w:p>
    <w:p>
      <w:pPr>
        <w:spacing w:after="120"/>
        <w:ind w:firstLine="709"/>
        <w:jc w:val="both"/>
      </w:pPr>
      <w:r>
        <w:rPr>
          <w:rFonts w:ascii="Arial" w:cs="Arial" w:eastAsia="Arial" w:hAnsi="Arial"/>
          <w:sz w:val="24"/>
          <w:szCs w:val="24"/>
        </w:rPr>
        <w:t xml:space="preserve">2) формы применяемых депозитарием документов первичного учета и отчетов перед клиентами;</w:t>
      </w:r>
    </w:p>
    <w:p>
      <w:pPr>
        <w:spacing w:after="120"/>
        <w:ind w:firstLine="709"/>
        <w:jc w:val="both"/>
      </w:pPr>
      <w:r>
        <w:rPr>
          <w:rFonts w:ascii="Arial" w:cs="Arial" w:eastAsia="Arial" w:hAnsi="Arial"/>
          <w:sz w:val="24"/>
          <w:szCs w:val="24"/>
        </w:rPr>
        <w:t xml:space="preserve">3) описание порядка взаимодействия структурных подразделений в процессе осуществления депозитарной деятельности, а также осуществления контрольных функций;</w:t>
      </w:r>
    </w:p>
    <w:p>
      <w:pPr>
        <w:spacing w:after="120"/>
        <w:ind w:firstLine="709"/>
        <w:jc w:val="both"/>
      </w:pPr>
      <w:r>
        <w:rPr>
          <w:rFonts w:ascii="Arial" w:cs="Arial" w:eastAsia="Arial" w:hAnsi="Arial"/>
          <w:sz w:val="24"/>
          <w:szCs w:val="24"/>
        </w:rPr>
        <w:t xml:space="preserve">4) описание организации внутреннего контроля за соблюдением требований, предъявляемых к депозитарной деятельности;</w:t>
      </w:r>
    </w:p>
    <w:p>
      <w:pPr>
        <w:spacing w:after="120"/>
        <w:ind w:firstLine="709"/>
        <w:jc w:val="both"/>
      </w:pPr>
      <w:r>
        <w:rPr>
          <w:rFonts w:ascii="Arial" w:cs="Arial" w:eastAsia="Arial" w:hAnsi="Arial"/>
          <w:sz w:val="24"/>
          <w:szCs w:val="24"/>
        </w:rPr>
        <w:t xml:space="preserve">5) формы договоров с клиентами;</w:t>
      </w:r>
    </w:p>
    <w:p>
      <w:pPr>
        <w:spacing w:after="120"/>
        <w:ind w:firstLine="709"/>
        <w:jc w:val="both"/>
      </w:pPr>
      <w:r>
        <w:rPr>
          <w:rFonts w:ascii="Arial" w:cs="Arial" w:eastAsia="Arial" w:hAnsi="Arial"/>
          <w:sz w:val="24"/>
          <w:szCs w:val="24"/>
        </w:rPr>
        <w:t xml:space="preserve">6) описание внутренних процедур, предупреждающих возможность возникновения конфликта интересов.</w:t>
      </w:r>
    </w:p>
    <w:p>
      <w:pPr>
        <w:spacing w:after="120"/>
        <w:ind w:firstLine="709"/>
        <w:jc w:val="both"/>
      </w:pPr>
      <w:r>
        <w:rPr>
          <w:rFonts w:ascii="Arial" w:cs="Arial" w:eastAsia="Arial" w:hAnsi="Arial"/>
          <w:sz w:val="24"/>
          <w:szCs w:val="24"/>
        </w:rPr>
        <w:t xml:space="preserve">12. Описание организации внутреннего контроля за соблюдением требований, предъявляемых к депозитарной деятельности, должно содержать:</w:t>
      </w:r>
    </w:p>
    <w:p>
      <w:pPr>
        <w:spacing w:after="120"/>
        <w:ind w:firstLine="709"/>
        <w:jc w:val="both"/>
      </w:pPr>
      <w:r>
        <w:rPr>
          <w:rFonts w:ascii="Arial" w:cs="Arial" w:eastAsia="Arial" w:hAnsi="Arial"/>
          <w:sz w:val="24"/>
          <w:szCs w:val="24"/>
        </w:rPr>
        <w:t xml:space="preserve">1) процедуру осуществления внутреннего контроля;</w:t>
      </w:r>
    </w:p>
    <w:p>
      <w:pPr>
        <w:spacing w:after="120"/>
        <w:ind w:firstLine="709"/>
        <w:jc w:val="both"/>
      </w:pPr>
      <w:r>
        <w:rPr>
          <w:rFonts w:ascii="Arial" w:cs="Arial" w:eastAsia="Arial" w:hAnsi="Arial"/>
          <w:sz w:val="24"/>
          <w:szCs w:val="24"/>
        </w:rPr>
        <w:t xml:space="preserve">2) систему внутреннего контроля и порядок проверки данных, вводимых в учетную систему депозитария;</w:t>
      </w:r>
    </w:p>
    <w:p>
      <w:pPr>
        <w:spacing w:after="120"/>
        <w:ind w:firstLine="709"/>
        <w:jc w:val="both"/>
      </w:pPr>
      <w:r>
        <w:rPr>
          <w:rFonts w:ascii="Arial" w:cs="Arial" w:eastAsia="Arial" w:hAnsi="Arial"/>
          <w:sz w:val="24"/>
          <w:szCs w:val="24"/>
        </w:rPr>
        <w:t xml:space="preserve">3) способы сохранения электронных данных;</w:t>
      </w:r>
    </w:p>
    <w:p>
      <w:pPr>
        <w:spacing w:after="120"/>
        <w:ind w:firstLine="709"/>
        <w:jc w:val="both"/>
      </w:pPr>
      <w:r>
        <w:rPr>
          <w:rFonts w:ascii="Arial" w:cs="Arial" w:eastAsia="Arial" w:hAnsi="Arial"/>
          <w:sz w:val="24"/>
          <w:szCs w:val="24"/>
        </w:rPr>
        <w:t xml:space="preserve">4) способы восстановления данных в случае их утраты;</w:t>
      </w:r>
    </w:p>
    <w:p>
      <w:pPr>
        <w:spacing w:after="120"/>
        <w:ind w:firstLine="709"/>
        <w:jc w:val="both"/>
      </w:pPr>
      <w:r>
        <w:rPr>
          <w:rFonts w:ascii="Arial" w:cs="Arial" w:eastAsia="Arial" w:hAnsi="Arial"/>
          <w:sz w:val="24"/>
          <w:szCs w:val="24"/>
        </w:rPr>
        <w:t xml:space="preserve">5) способы продолжения деятельности по учету имущества и осуществлению контрольных функций в случае отказа компьютерного оборудования и (или) программного обеспечения.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Требования к деятельности депозитария</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Уведомлять уполномоченный государственный орган в сфере регулирования и надзора за деятельностью накопительных пенсионных фондов (далее – уполномоченный государственный орган) и соответствующую управляющую компанию о выявленных в ходе осуществления контроля существенных нарушениях не позднее одного рабочего дня, следующего за днем их выявления.</w:t>
      </w:r>
    </w:p>
    <w:p>
      <w:pPr>
        <w:spacing w:after="120"/>
        <w:ind w:firstLine="709"/>
        <w:jc w:val="both"/>
      </w:pPr>
      <w:r>
        <w:rPr>
          <w:rFonts w:ascii="Arial" w:cs="Arial" w:eastAsia="Arial" w:hAnsi="Arial"/>
          <w:sz w:val="24"/>
          <w:szCs w:val="24"/>
        </w:rPr>
        <w:t xml:space="preserve">14.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установленные Кабинетом Министров Кыргызской Республики.</w:t>
      </w:r>
    </w:p>
    <w:p>
      <w:pPr>
        <w:spacing w:after="120"/>
        <w:ind w:firstLine="709"/>
        <w:jc w:val="both"/>
      </w:pPr>
      <w:r>
        <w:rPr>
          <w:rFonts w:ascii="Arial" w:cs="Arial" w:eastAsia="Arial" w:hAnsi="Arial"/>
          <w:sz w:val="24"/>
          <w:szCs w:val="24"/>
        </w:rPr>
        <w:t xml:space="preserve">15. В порядке и сроки, установленные договором об оказании услуг депозитария, информировать уполномоченный государственный орган об отзыве или о приостановлении разрешения на осуществление депозитарной деятельности и деятельности депозитария инвестиционных фондов, паевых инвестиционных фондов и накопительных пенсионных фондов, выдаваемого в соответствии с законодательством Кыргызской Республики в сфере лицензирования, и других изменениях в учредительных документах.</w:t>
      </w:r>
    </w:p>
    <w:p>
      <w:pPr>
        <w:spacing w:after="120"/>
        <w:ind w:firstLine="709"/>
        <w:jc w:val="both"/>
      </w:pPr>
      <w:r>
        <w:rPr>
          <w:rFonts w:ascii="Arial" w:cs="Arial" w:eastAsia="Arial" w:hAnsi="Arial"/>
          <w:sz w:val="24"/>
          <w:szCs w:val="24"/>
        </w:rPr>
        <w:t xml:space="preserve">16. В порядке и сроки, установленные договором об оказании услуг депозитария, предоставлять уполномоченному государственному органу в сфере регулирования рынка ценных бумаг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w:t>
      </w:r>
    </w:p>
    <w:p>
      <w:pPr>
        <w:spacing w:after="120"/>
        <w:ind w:firstLine="709"/>
        <w:jc w:val="both"/>
      </w:pPr>
      <w:r>
        <w:rPr>
          <w:rFonts w:ascii="Arial" w:cs="Arial" w:eastAsia="Arial" w:hAnsi="Arial"/>
          <w:sz w:val="24"/>
          <w:szCs w:val="24"/>
        </w:rPr>
        <w:t xml:space="preserve">17. Обеспечивать в порядке, установленном Кабинетом Министров Кыргызской Республики и являющемся неотъемлемой частью договора об оказании услуг депозитария, процесс передачи активов от управляющей компании в НПФ в случае прекращения (расторжения) договора доверительного управления средствами пенсионных накоплений.</w:t>
      </w:r>
    </w:p>
    <w:p>
      <w:pPr>
        <w:spacing w:after="120"/>
        <w:ind w:firstLine="709"/>
        <w:jc w:val="both"/>
      </w:pPr>
      <w:r>
        <w:rPr>
          <w:rFonts w:ascii="Arial" w:cs="Arial" w:eastAsia="Arial" w:hAnsi="Arial"/>
          <w:sz w:val="24"/>
          <w:szCs w:val="24"/>
        </w:rPr>
        <w:t xml:space="preserve">18. Страховать в порядке и на условиях, предусмотренных законодательством </w:t>
      </w:r>
      <w:r>
        <w:rPr>
          <w:rFonts w:ascii="Arial" w:cs="Arial" w:eastAsia="Arial" w:hAnsi="Arial"/>
          <w:sz w:val="24"/>
          <w:szCs w:val="24"/>
        </w:rPr>
        <w:t xml:space="preserve">Кыргызской Республики в сфере страхования</w:t>
      </w:r>
      <w:r>
        <w:rPr>
          <w:rFonts w:ascii="Arial" w:cs="Arial" w:eastAsia="Arial" w:hAnsi="Arial"/>
          <w:sz w:val="24"/>
          <w:szCs w:val="24"/>
        </w:rPr>
        <w:t xml:space="preserve">, риск гражданско-правовой ответственности депозитария перед накопительным пенсионным фондом и управляющей компанией за причинение убытков вследствие ненадлежащего исполнения обязательств по договору об оказании услуг депозитария.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hldrvfdhvdg993y2tck">
      <w:r>
        <w:rPr>
          <w:rFonts w:ascii="Arial" w:cs="Arial" w:eastAsia="Arial" w:hAnsi="Arial"/>
          <w:color w:val="132D3F"/>
          <w:sz w:val="16"/>
          <w:szCs w:val="16"/>
          <w:u w:val="single"/>
        </w:rPr>
        <w:t xml:space="preserve">dalil.kg/document/230048954</w:t>
      </w:r>
    </w:hyperlink>
  </w:p>
  <w:p>
    <w:pPr>
      <w:spacing w:after="0" w:before="40"/>
      <w:jc w:val="center"/>
    </w:pPr>
    <w:hyperlink w:history="1" r:id="rIdpqg1ecgqd-gbamytfll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_oyidk0m_z4doupyayc" Type="http://schemas.openxmlformats.org/officeDocument/2006/relationships/hyperlink" Target="https://dalil.kg/document/2300489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hldrvfdhvdg993y2tck" Type="http://schemas.openxmlformats.org/officeDocument/2006/relationships/hyperlink" Target="https://dalil.kg/document/230048954" TargetMode="External"/><Relationship Id="rIdpqg1ecgqd-gbamytfll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2026-09-24T19:30:21.975Z</dcterms:created>
  <dcterms:modified xsi:type="dcterms:W3CDTF">2026-09-24T19:30:21.975Z</dcterms:modified>
</cp:coreProperties>
</file>

<file path=docProps/custom.xml><?xml version="1.0" encoding="utf-8"?>
<Properties xmlns="http://schemas.openxmlformats.org/officeDocument/2006/custom-properties" xmlns:vt="http://schemas.openxmlformats.org/officeDocument/2006/docPropsVTypes"/>
</file>