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«Об особо охраняемых природных территориях»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pswyibaxlwscgqpus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 (Ведомости Жогорку Кенеша Кыргызской Республики, 2011 г., № 5, ст. 377) следующие изменения: </w:t>
      </w:r>
    </w:p>
    <w:p>
      <w:pPr>
        <w:spacing w:after="2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статье 2: 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тридцать первый изложить в следующей редакции: 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геологический объект</w:t>
      </w:r>
      <w:r>
        <w:rPr>
          <w:rFonts w:ascii="Arial" w:cs="Arial" w:eastAsia="Arial" w:hAnsi="Arial"/>
          <w:sz w:val="24"/>
          <w:szCs w:val="24"/>
        </w:rPr>
        <w:t xml:space="preserve"> – отдельный природный ландшафт, обнажение горных пород, пещера, местонахождение ископаемой флоры и фауны или иное образование, представляющее особую научную, образовательную и эстетическую ценность как часть геологического наследия;»; 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тридцать втором слова «геологические парки (геопарки)» заменить словами «геологические объекты геопарков»; 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тринадцатый части 3 статьи 5 признать утратившим силу;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6 слова «геологические парки (геопарки)» заменить словами «геологические объекты геопарков»; 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23</w:t>
      </w:r>
      <w:r>
        <w:rPr>
          <w:rFonts w:ascii="Arial" w:cs="Arial" w:eastAsia="Arial" w:hAnsi="Arial"/>
          <w:sz w:val="20"/>
          <w:szCs w:val="20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и 23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33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6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4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июля 2026 года № 57 (3817)</w:t>
      </w:r>
    </w:p>
    <w:p>
      <w:pPr>
        <w:spacing w:after="6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bf22djwv3lw90xlk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dalil.kg/document/230049186</w:t>
      </w:r>
    </w:hyperlink>
  </w:p>
  <w:p>
    <w:pPr>
      <w:spacing w:after="0" w:before="40"/>
      <w:jc w:val="center"/>
    </w:pPr>
    <w:hyperlink w:history="1" r:id="rId9wzqhf-_tovnug1ytde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swyibaxlwscgqpusyze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bf22djwv3lw90xlkjrc" Type="http://schemas.openxmlformats.org/officeDocument/2006/relationships/hyperlink" Target="https://dalil.kg/document/230049186" TargetMode="External"/><Relationship Id="rId9wzqhf-_tovnug1ytde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2026-09-23T23:25:37.167Z</dcterms:created>
  <dcterms:modified xsi:type="dcterms:W3CDTF">2026-09-23T23:25:37.167Z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