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условиях оплаты услуг персонального ассистента ребенка с инвалидностью и (или) лица с инвалидностью</w:t>
      </w:r>
      <w:r>
        <w:rPr>
          <w:rFonts w:ascii="Arial" w:cs="Arial" w:eastAsia="Arial" w:hAnsi="Arial"/>
          <w:sz w:val="24"/>
          <w:szCs w:val="24"/>
        </w:rPr>
        <w:t xml:space="preserve"> c детства I группы (старше 18 лет) нуждающегося в постоянном </w:t>
      </w:r>
      <w:r>
        <w:rPr>
          <w:rFonts w:ascii="Arial" w:cs="Arial" w:eastAsia="Arial" w:hAnsi="Arial"/>
          <w:sz w:val="24"/>
          <w:szCs w:val="24"/>
        </w:rPr>
        <w:t xml:space="preserve">постороннем уходе и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96ce8vd9npc9pzt3y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правах и гарантиях лиц с инвалидностью», в соответствии со статьями </w:t>
      </w:r>
      <w:hyperlink w:history="1" r:id="rId1btxxhj0tek6srn46f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soneapeiuui42dewn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9ehs67wq1diaaxnse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с инвалидностью и (или) лица с инвалидностью с детства I группы (старше 18 лет), нуждающегося в постоянном постороннем уходе и надзоре,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услуг персонального ассистента, осуществляющего уход за ребенком с инвалидностью и (или) лицом с инвалидностью с детства I группы (старше 18 лет), нуждающимся в постоянном постороннем уходе и надзоре, устанавливается в размере прожиточного минимума в среднем на душу населения в Кыргызской Республике, определяемом Национальным статистическим комитетом Кыргызской Республики за предыдущий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g2gj-psq53foa1kzgt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классификатора Кыргызской Республики «Виды экономической деятельности» 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xjrfbcttz9pqqf9w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«Виды экономической деятельности» (ГКЭД, версия 3), утвержденном вышеуказанным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подклассе 88.99.0 «Прочее социальное обслуживание без обеспечения проживания, не включенное в другие группировки» абзац второй изложить 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«Услуги персонального ассистента, осуществляющего уход за ребенком с инвалидностью и (или) лицом с инвалидностью, нуждающимся в постоянном постороннем уходе и надзоре».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efzbq9ucer7hyow3je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_qjsbifrtagxc3urx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 постоянном постороннем уходе и надзоре» от 23 ноября 2018 года № 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0bqytumjli84bgfyxb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социального обеспечения» от 31 мая 2022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августа 2026 года № 58 (3818)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6ce8vd9npc9pzt3ykjf" Type="http://schemas.openxmlformats.org/officeDocument/2006/relationships/hyperlink" Target="http://kodeks.duckdns.org/document/230030633#st_16" TargetMode="External"/><Relationship Id="rId1btxxhj0tek6srn46fdrl" Type="http://schemas.openxmlformats.org/officeDocument/2006/relationships/hyperlink" Target="http://kodeks.duckdns.org/document/230049328#st_13" TargetMode="External"/><Relationship Id="rId0ksoneapeiuui42dewn8-" Type="http://schemas.openxmlformats.org/officeDocument/2006/relationships/hyperlink" Target="http://kodeks.duckdns.org/document/230049328#st_17" TargetMode="External"/><Relationship Id="rIdn9ehs67wq1diaaxnseugx" Type="http://schemas.openxmlformats.org/officeDocument/2006/relationships/hyperlink" Target="http://kodeks.duckdns.org/document/230049334" TargetMode="External"/><Relationship Id="rIdg2gj-psq53foa1kzgtnhp" Type="http://schemas.openxmlformats.org/officeDocument/2006/relationships/hyperlink" Target="http://kodeks.duckdns.org/document/94011" TargetMode="External"/><Relationship Id="rIdnfxjrfbcttz9pqqf9wggp" Type="http://schemas.openxmlformats.org/officeDocument/2006/relationships/hyperlink" Target="http://kodeks.duckdns.org/document/94011#pr1" TargetMode="External"/><Relationship Id="rIdefzbq9ucer7hyow3jed7q" Type="http://schemas.openxmlformats.org/officeDocument/2006/relationships/hyperlink" Target="http://kodeks.duckdns.org/document/12818" TargetMode="External"/><Relationship Id="rIdg_qjsbifrtagxc3urximq" Type="http://schemas.openxmlformats.org/officeDocument/2006/relationships/hyperlink" Target="http://kodeks.duckdns.org/document/12819" TargetMode="External"/><Relationship Id="rId0bqytumjli84bgfyxbis9" Type="http://schemas.openxmlformats.org/officeDocument/2006/relationships/hyperlink" Target="http://kodeks.duckdns.org/document/15922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2026-09-23T03:45:23.300Z</dcterms:created>
  <dcterms:modified xsi:type="dcterms:W3CDTF">2026-09-23T03:45:23.300Z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