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ПОСТАНОВЛЕНИЕ КАБИНЕТА МИНИСТРОВ КЫРГЫЗСКОЙ РЕСПУБЛИКИ</w:t>
      </w:r>
    </w:p>
    <w:p>
      <w:pPr>
        <w:spacing w:after="120"/>
        <w:jc w:val="both"/>
      </w:pPr>
      <w:r>
        <w:rPr>
          <w:rFonts w:ascii="Arial" w:cs="Arial" w:eastAsia="Arial" w:hAnsi="Arial"/>
          <w:sz w:val="24"/>
          <w:szCs w:val="24"/>
        </w:rPr>
        <w:t xml:space="preserve"/>
      </w:r>
    </w:p>
    <w:p>
      <w:pPr>
        <w:spacing w:after="240"/>
        <w:jc w:val="both"/>
      </w:pPr>
      <w:r>
        <w:rPr>
          <w:rFonts w:ascii="Arial" w:cs="Arial" w:eastAsia="Arial" w:hAnsi="Arial"/>
          <w:sz w:val="24"/>
          <w:szCs w:val="24"/>
        </w:rPr>
        <w:t xml:space="preserve">от 21 июля 2026 года № 500</w:t>
      </w:r>
    </w:p>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решения Кабинета Министров Кыргызской Республики в сфере государственного социального страхования</w:t>
      </w:r>
    </w:p>
    <w:p>
      <w:pPr>
        <w:spacing w:after="120"/>
        <w:jc w:val="center"/>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В целях реализации статей </w:t>
      </w:r>
      <w:hyperlink w:history="1" r:id="rIdlwpwuzm2pim4rgvo2jnzi">
        <w:r>
          <w:rPr>
            <w:rFonts w:ascii="Arial" w:cs="Arial" w:eastAsia="Arial" w:hAnsi="Arial"/>
            <w:color w:val="1D4ED8"/>
            <w:sz w:val="24"/>
            <w:szCs w:val="24"/>
            <w:u w:val="single"/>
          </w:rPr>
          <w:t xml:space="preserve">2-1</w:t>
        </w:r>
      </w:hyperlink>
      <w:r>
        <w:rPr>
          <w:rFonts w:ascii="Arial" w:cs="Arial" w:eastAsia="Arial" w:hAnsi="Arial"/>
          <w:sz w:val="24"/>
          <w:szCs w:val="24"/>
        </w:rPr>
        <w:t xml:space="preserve">, </w:t>
      </w:r>
      <w:hyperlink w:history="1" r:id="rIdfwgkyt9jnytzmgb6n8xte">
        <w:r>
          <w:rPr>
            <w:rFonts w:ascii="Arial" w:cs="Arial" w:eastAsia="Arial" w:hAnsi="Arial"/>
            <w:color w:val="1D4ED8"/>
            <w:sz w:val="24"/>
            <w:szCs w:val="24"/>
            <w:u w:val="single"/>
          </w:rPr>
          <w:t xml:space="preserve">6</w:t>
        </w:r>
      </w:hyperlink>
      <w:r>
        <w:rPr>
          <w:rFonts w:ascii="Arial" w:cs="Arial" w:eastAsia="Arial" w:hAnsi="Arial"/>
          <w:sz w:val="24"/>
          <w:szCs w:val="24"/>
        </w:rPr>
        <w:t xml:space="preserve">, </w:t>
      </w:r>
      <w:hyperlink w:history="1" r:id="rIdqpkvuegumj52pdqgwc2wv">
        <w:r>
          <w:rPr>
            <w:rFonts w:ascii="Arial" w:cs="Arial" w:eastAsia="Arial" w:hAnsi="Arial"/>
            <w:color w:val="1D4ED8"/>
            <w:sz w:val="24"/>
            <w:szCs w:val="24"/>
            <w:u w:val="single"/>
          </w:rPr>
          <w:t xml:space="preserve">7</w:t>
        </w:r>
      </w:hyperlink>
      <w:r>
        <w:rPr>
          <w:rFonts w:ascii="Arial" w:cs="Arial" w:eastAsia="Arial" w:hAnsi="Arial"/>
          <w:sz w:val="24"/>
          <w:szCs w:val="24"/>
        </w:rPr>
        <w:t xml:space="preserve">, </w:t>
      </w:r>
      <w:hyperlink w:history="1" r:id="rIdytl6t77ge-aukxxb_90jj">
        <w:r>
          <w:rPr>
            <w:rFonts w:ascii="Arial" w:cs="Arial" w:eastAsia="Arial" w:hAnsi="Arial"/>
            <w:color w:val="1D4ED8"/>
            <w:sz w:val="24"/>
            <w:szCs w:val="24"/>
            <w:u w:val="single"/>
          </w:rPr>
          <w:t xml:space="preserve">9</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в соответствии со статьями </w:t>
      </w:r>
      <w:hyperlink w:history="1" r:id="rIdn5tttsoxhrquk7dmxcppc">
        <w:r>
          <w:rPr>
            <w:rFonts w:ascii="Arial" w:cs="Arial" w:eastAsia="Arial" w:hAnsi="Arial"/>
            <w:color w:val="1D4ED8"/>
            <w:sz w:val="24"/>
            <w:szCs w:val="24"/>
            <w:u w:val="single"/>
          </w:rPr>
          <w:t xml:space="preserve">13</w:t>
        </w:r>
      </w:hyperlink>
      <w:r>
        <w:rPr>
          <w:rFonts w:ascii="Arial" w:cs="Arial" w:eastAsia="Arial" w:hAnsi="Arial"/>
          <w:sz w:val="24"/>
          <w:szCs w:val="24"/>
        </w:rPr>
        <w:t xml:space="preserve">, </w:t>
      </w:r>
      <w:hyperlink w:history="1" r:id="rId_mudziod9p__h6yp_uybg">
        <w:r>
          <w:rPr>
            <w:rFonts w:ascii="Arial" w:cs="Arial" w:eastAsia="Arial" w:hAnsi="Arial"/>
            <w:color w:val="1D4ED8"/>
            <w:sz w:val="24"/>
            <w:szCs w:val="24"/>
            <w:u w:val="single"/>
          </w:rPr>
          <w:t xml:space="preserve">17</w:t>
        </w:r>
      </w:hyperlink>
      <w:r>
        <w:rPr>
          <w:rFonts w:ascii="Arial" w:cs="Arial" w:eastAsia="Arial" w:hAnsi="Arial"/>
          <w:sz w:val="24"/>
          <w:szCs w:val="24"/>
        </w:rPr>
        <w:t xml:space="preserve"> конституционного Закона Кыргызской Республики "О Кабинете Министров Кыргызской Республики" Кабинет Министров Кыргызской Республики постановляет:</w:t>
      </w:r>
    </w:p>
    <w:p>
      <w:pPr>
        <w:spacing w:after="120"/>
        <w:ind w:firstLine="567"/>
        <w:jc w:val="both"/>
      </w:pPr>
      <w:r>
        <w:rPr>
          <w:rFonts w:ascii="Arial" w:cs="Arial" w:eastAsia="Arial" w:hAnsi="Arial"/>
          <w:sz w:val="24"/>
          <w:szCs w:val="24"/>
        </w:rPr>
        <w:t xml:space="preserve">1. Внести в </w:t>
      </w:r>
      <w:hyperlink w:history="1" r:id="rIdpsntla74miptl43pkyael">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Порядка</w:t>
      </w:r>
      <w:r>
        <w:rPr>
          <w:rFonts w:ascii="Arial" w:cs="Arial" w:eastAsia="Arial" w:hAnsi="Arial"/>
          <w:sz w:val="24"/>
          <w:szCs w:val="24"/>
        </w:rPr>
        <w:t xml:space="preserve">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 от 23 августа 2024 года № 497 следующее изменение:</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Порядке</w:t>
      </w:r>
      <w:r>
        <w:rPr>
          <w:rFonts w:ascii="Arial" w:cs="Arial" w:eastAsia="Arial" w:hAnsi="Arial"/>
          <w:sz w:val="24"/>
          <w:szCs w:val="24"/>
        </w:rPr>
        <w:t xml:space="preserve"> определения размера среднемесячной заработной платы для исчисления подоходного налога и страховых взносов по государственному социальному страхованию, утвержденном вышеуказанным </w:t>
      </w:r>
      <w:hyperlink w:history="1" r:id="rIdizu0p1clf6wdrfukwj9wc">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пункт 2 дополнить подпунктом 3 следующего содержания:</w:t>
      </w:r>
    </w:p>
    <w:p>
      <w:pPr>
        <w:spacing w:after="120"/>
        <w:ind w:firstLine="567"/>
        <w:jc w:val="both"/>
      </w:pPr>
      <w:r>
        <w:rPr>
          <w:rFonts w:ascii="Arial" w:cs="Arial" w:eastAsia="Arial" w:hAnsi="Arial"/>
          <w:sz w:val="24"/>
          <w:szCs w:val="24"/>
        </w:rPr>
        <w:t xml:space="preserve">"3) размер среднемесячной заработной платы по республике за предыдущий календарный год для исчисления добровольной уплаты страховых взносов в соответствии с пунктом 1 </w:t>
      </w:r>
      <w:hyperlink w:history="1" r:id="rIdutqc3chmjrkzqb_wgkmea">
        <w:r>
          <w:rPr>
            <w:rFonts w:ascii="Arial" w:cs="Arial" w:eastAsia="Arial" w:hAnsi="Arial"/>
            <w:color w:val="1D4ED8"/>
            <w:sz w:val="24"/>
            <w:szCs w:val="24"/>
            <w:u w:val="single"/>
          </w:rPr>
          <w:t xml:space="preserve">статьи 10</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 физическими лицами, осуществляющими трудовую деятельность за рубежом.".</w:t>
      </w:r>
    </w:p>
    <w:p>
      <w:pPr>
        <w:spacing w:after="120"/>
        <w:ind w:firstLine="567"/>
        <w:jc w:val="both"/>
      </w:pPr>
      <w:r>
        <w:rPr>
          <w:rFonts w:ascii="Arial" w:cs="Arial" w:eastAsia="Arial" w:hAnsi="Arial"/>
          <w:sz w:val="24"/>
          <w:szCs w:val="24"/>
        </w:rPr>
        <w:t xml:space="preserve">2. Внести в </w:t>
      </w:r>
      <w:hyperlink w:history="1" r:id="rIdvszfz6hwvtzdmuwqo7k9o">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Кабинета Министров Кыргызской Республики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от 3 декабря 2024 года № 729 следующие изменения:</w:t>
      </w:r>
    </w:p>
    <w:p>
      <w:pPr>
        <w:spacing w:after="120"/>
        <w:ind w:firstLine="567"/>
        <w:jc w:val="both"/>
      </w:pPr>
      <w:r>
        <w:rPr>
          <w:rFonts w:ascii="Arial" w:cs="Arial" w:eastAsia="Arial" w:hAnsi="Arial"/>
          <w:sz w:val="24"/>
          <w:szCs w:val="24"/>
        </w:rPr>
        <w:t xml:space="preserve">в </w:t>
      </w:r>
      <w:r>
        <w:rPr>
          <w:rFonts w:ascii="Arial" w:cs="Arial" w:eastAsia="Arial" w:hAnsi="Arial"/>
          <w:sz w:val="24"/>
          <w:szCs w:val="24"/>
        </w:rPr>
        <w:t xml:space="preserve">Инструкции</w:t>
      </w:r>
      <w:r>
        <w:rPr>
          <w:rFonts w:ascii="Arial" w:cs="Arial" w:eastAsia="Arial" w:hAnsi="Arial"/>
          <w:sz w:val="24"/>
          <w:szCs w:val="24"/>
        </w:rPr>
        <w:t xml:space="preserve"> о порядке начисления и уплаты страховых взносов по государственному социальному страхованию, утвержденной вышеуказанным </w:t>
      </w:r>
      <w:hyperlink w:history="1" r:id="rIdvmxapgv2ygaod2lc_kytd">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1) подпункт 29 пункта 2 признать утратившим силу;</w:t>
      </w:r>
    </w:p>
    <w:p>
      <w:pPr>
        <w:spacing w:after="120"/>
        <w:ind w:firstLine="567"/>
        <w:jc w:val="both"/>
      </w:pPr>
      <w:r>
        <w:rPr>
          <w:rFonts w:ascii="Arial" w:cs="Arial" w:eastAsia="Arial" w:hAnsi="Arial"/>
          <w:sz w:val="24"/>
          <w:szCs w:val="24"/>
        </w:rPr>
        <w:t xml:space="preserve">2) подпункт 3 пункта 5 признать утратившим силу;</w:t>
      </w:r>
    </w:p>
    <w:p>
      <w:pPr>
        <w:spacing w:after="120"/>
        <w:ind w:firstLine="567"/>
        <w:jc w:val="both"/>
      </w:pPr>
      <w:r>
        <w:rPr>
          <w:rFonts w:ascii="Arial" w:cs="Arial" w:eastAsia="Arial" w:hAnsi="Arial"/>
          <w:sz w:val="24"/>
          <w:szCs w:val="24"/>
        </w:rPr>
        <w:t xml:space="preserve">3) пункт 5-1 изложить в следующей редакции:</w:t>
      </w:r>
    </w:p>
    <w:p>
      <w:pPr>
        <w:spacing w:after="120"/>
        <w:ind w:firstLine="567"/>
        <w:jc w:val="both"/>
      </w:pPr>
      <w:r>
        <w:rPr>
          <w:rFonts w:ascii="Arial" w:cs="Arial" w:eastAsia="Arial" w:hAnsi="Arial"/>
          <w:sz w:val="24"/>
          <w:szCs w:val="24"/>
        </w:rPr>
        <w:t xml:space="preserve">"5-1. Исчисление страховых взносов для субъектов предпринимательства, осуществляющих производственную деятельность в швейной и текстильной промышленности, а также работающих у них физических лиц, до 1 января 2030 года производится ежемесячно от 40 процентов размера среднемесячной заработной платы, сложившейся в районе или городе за предыдущий календарный год.";</w:t>
      </w:r>
    </w:p>
    <w:p>
      <w:pPr>
        <w:spacing w:after="120"/>
        <w:ind w:firstLine="567"/>
        <w:jc w:val="both"/>
      </w:pPr>
      <w:r>
        <w:rPr>
          <w:rFonts w:ascii="Arial" w:cs="Arial" w:eastAsia="Arial" w:hAnsi="Arial"/>
          <w:sz w:val="24"/>
          <w:szCs w:val="24"/>
        </w:rPr>
        <w:t xml:space="preserve">4) пункт 5-2 признать утратившим силу;</w:t>
      </w:r>
    </w:p>
    <w:p>
      <w:pPr>
        <w:spacing w:after="120"/>
        <w:ind w:firstLine="567"/>
        <w:jc w:val="both"/>
      </w:pPr>
      <w:r>
        <w:rPr>
          <w:rFonts w:ascii="Arial" w:cs="Arial" w:eastAsia="Arial" w:hAnsi="Arial"/>
          <w:sz w:val="24"/>
          <w:szCs w:val="24"/>
        </w:rPr>
        <w:t xml:space="preserve">5) пункт 5-6 изложить в следующей редакции:</w:t>
      </w:r>
    </w:p>
    <w:p>
      <w:pPr>
        <w:spacing w:after="120"/>
        <w:ind w:firstLine="567"/>
        <w:jc w:val="both"/>
      </w:pPr>
      <w:r>
        <w:rPr>
          <w:rFonts w:ascii="Arial" w:cs="Arial" w:eastAsia="Arial" w:hAnsi="Arial"/>
          <w:sz w:val="24"/>
          <w:szCs w:val="24"/>
        </w:rPr>
        <w:t xml:space="preserve">"5-6. Исчисление страховых взносов для работников организаций, осуществляющих деятельность в сфере футбола, производится ежемесячно от размера среднемесячной заработной платы.</w:t>
      </w:r>
    </w:p>
    <w:p>
      <w:pPr>
        <w:spacing w:after="120"/>
        <w:ind w:firstLine="567"/>
        <w:jc w:val="both"/>
      </w:pPr>
      <w:r>
        <w:rPr>
          <w:rFonts w:ascii="Arial" w:cs="Arial" w:eastAsia="Arial" w:hAnsi="Arial"/>
          <w:sz w:val="24"/>
          <w:szCs w:val="24"/>
        </w:rPr>
        <w:t xml:space="preserve">Организации, осуществляющие деятельность в сфере футбола:</w:t>
      </w:r>
    </w:p>
    <w:p>
      <w:pPr>
        <w:spacing w:after="120"/>
        <w:ind w:firstLine="567"/>
        <w:jc w:val="both"/>
      </w:pPr>
      <w:r>
        <w:rPr>
          <w:rFonts w:ascii="Arial" w:cs="Arial" w:eastAsia="Arial" w:hAnsi="Arial"/>
          <w:sz w:val="24"/>
          <w:szCs w:val="24"/>
        </w:rPr>
        <w:t xml:space="preserve">а) объединение юридических лиц "Кыргызский футбольный союз" (далее - КФС), а также юридические лица, являющиеся его членами;</w:t>
      </w:r>
    </w:p>
    <w:p>
      <w:pPr>
        <w:spacing w:after="120"/>
        <w:ind w:firstLine="567"/>
        <w:jc w:val="both"/>
      </w:pPr>
      <w:r>
        <w:rPr>
          <w:rFonts w:ascii="Arial" w:cs="Arial" w:eastAsia="Arial" w:hAnsi="Arial"/>
          <w:sz w:val="24"/>
          <w:szCs w:val="24"/>
        </w:rPr>
        <w:t xml:space="preserve">б) профессиональные футбольные клубы и/или футбольные академии (независимо от форм собственности) в соответствии с перечнем, утверждаемым КФС;</w:t>
      </w:r>
    </w:p>
    <w:p>
      <w:pPr>
        <w:spacing w:after="120"/>
        <w:ind w:firstLine="567"/>
        <w:jc w:val="both"/>
      </w:pPr>
      <w:r>
        <w:rPr>
          <w:rFonts w:ascii="Arial" w:cs="Arial" w:eastAsia="Arial" w:hAnsi="Arial"/>
          <w:sz w:val="24"/>
          <w:szCs w:val="24"/>
        </w:rPr>
        <w:t xml:space="preserve">в) организации, являющиеся собственниками или законными владельцами футбольных стадионов, имеющие лицензию (сертификат) КФС в части деятельности, непосредственно связанной с эксплуатацией и содержанием указанных стадионов.";</w:t>
      </w:r>
    </w:p>
    <w:p>
      <w:pPr>
        <w:spacing w:after="120"/>
        <w:ind w:firstLine="567"/>
        <w:jc w:val="both"/>
      </w:pPr>
      <w:r>
        <w:rPr>
          <w:rFonts w:ascii="Arial" w:cs="Arial" w:eastAsia="Arial" w:hAnsi="Arial"/>
          <w:sz w:val="24"/>
          <w:szCs w:val="24"/>
        </w:rPr>
        <w:t xml:space="preserve">6) пункт 7 изложить в следующей редакции:</w:t>
      </w:r>
    </w:p>
    <w:p>
      <w:pPr>
        <w:spacing w:after="120"/>
        <w:ind w:firstLine="567"/>
        <w:jc w:val="both"/>
      </w:pPr>
      <w:r>
        <w:rPr>
          <w:rFonts w:ascii="Arial" w:cs="Arial" w:eastAsia="Arial" w:hAnsi="Arial"/>
          <w:sz w:val="24"/>
          <w:szCs w:val="24"/>
        </w:rPr>
        <w:t xml:space="preserve">"7. В случае если ежемесячный размер страховых взносов меньше суммы, исчисленной согласно подпунктам 1, 2 пункта 5 соответственно от 60 или 100 процентов размера среднемесячной заработной платы, то работодателем за работника начисление, взимание и внесение страховых взносов производится от фактического ФОТ и дополнительного фонда оплаты труда. При этом начисление, взимание и внесение страховых взносов, установленных для работника, производится работодателем с фактически начисленной заработной платы.</w:t>
      </w:r>
    </w:p>
    <w:p>
      <w:pPr>
        <w:spacing w:after="120"/>
        <w:ind w:firstLine="567"/>
        <w:jc w:val="both"/>
      </w:pPr>
      <w:r>
        <w:rPr>
          <w:rFonts w:ascii="Arial" w:cs="Arial" w:eastAsia="Arial" w:hAnsi="Arial"/>
          <w:sz w:val="24"/>
          <w:szCs w:val="24"/>
        </w:rPr>
        <w:t xml:space="preserve">Совокупная сумма страховых взносов, подлежащая уплате работодателем и работником в пользу одного застрахованного лица за календарный месяц, не может превышать сумму, исчисленную от двадцатикратного размера среднемесячной заработной платы, сложившуюся в республике за предыдущий календарный год, независимо от применяемых тарифов и распределения сумм по фондам в соответствии с Законом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Расчет предельной величины начисленных страховых взносов для категории работников.</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1) (31604 сома * 20 * 27,25%) = 172242 сома;</w:t>
      </w:r>
    </w:p>
    <w:p>
      <w:pPr>
        <w:spacing w:after="120"/>
        <w:ind w:firstLine="567"/>
        <w:jc w:val="both"/>
      </w:pPr>
      <w:r>
        <w:rPr>
          <w:rFonts w:ascii="Arial" w:cs="Arial" w:eastAsia="Arial" w:hAnsi="Arial"/>
          <w:sz w:val="24"/>
          <w:szCs w:val="24"/>
        </w:rPr>
        <w:t xml:space="preserve">001 - основной работник (31604 сома * 20 * 27,25%) = 172242 сома;</w:t>
      </w:r>
    </w:p>
    <w:p>
      <w:pPr>
        <w:spacing w:after="120"/>
        <w:ind w:firstLine="567"/>
        <w:jc w:val="both"/>
      </w:pPr>
      <w:r>
        <w:rPr>
          <w:rFonts w:ascii="Arial" w:cs="Arial" w:eastAsia="Arial" w:hAnsi="Arial"/>
          <w:sz w:val="24"/>
          <w:szCs w:val="24"/>
        </w:rPr>
        <w:t xml:space="preserve">003 - пенсионер (31604 сома * 20 * 25,25%) = 159600 сомов;</w:t>
      </w:r>
    </w:p>
    <w:p>
      <w:pPr>
        <w:spacing w:after="120"/>
        <w:ind w:firstLine="567"/>
        <w:jc w:val="both"/>
      </w:pPr>
      <w:r>
        <w:rPr>
          <w:rFonts w:ascii="Arial" w:cs="Arial" w:eastAsia="Arial" w:hAnsi="Arial"/>
          <w:sz w:val="24"/>
          <w:szCs w:val="24"/>
        </w:rPr>
        <w:t xml:space="preserve">100 - инвалид I-II группы (31604 сома * 20 * 17,25%) = 109033 сома;</w:t>
      </w:r>
    </w:p>
    <w:p>
      <w:pPr>
        <w:spacing w:after="120"/>
        <w:ind w:firstLine="567"/>
        <w:jc w:val="both"/>
      </w:pPr>
      <w:r>
        <w:rPr>
          <w:rFonts w:ascii="Arial" w:cs="Arial" w:eastAsia="Arial" w:hAnsi="Arial"/>
          <w:sz w:val="24"/>
          <w:szCs w:val="24"/>
        </w:rPr>
        <w:t xml:space="preserve">2) (31604 сома * 20 * 12,25%) = 77430 сомов;</w:t>
      </w:r>
    </w:p>
    <w:p>
      <w:pPr>
        <w:spacing w:after="120"/>
        <w:ind w:firstLine="567"/>
        <w:jc w:val="both"/>
      </w:pPr>
      <w:r>
        <w:rPr>
          <w:rFonts w:ascii="Arial" w:cs="Arial" w:eastAsia="Arial" w:hAnsi="Arial"/>
          <w:sz w:val="24"/>
          <w:szCs w:val="24"/>
        </w:rPr>
        <w:t xml:space="preserve">001 - основной работник (31604 сома * 20 * 12,25%) = 77430 сомов;</w:t>
      </w:r>
    </w:p>
    <w:p>
      <w:pPr>
        <w:spacing w:after="120"/>
        <w:ind w:firstLine="567"/>
        <w:jc w:val="both"/>
      </w:pPr>
      <w:r>
        <w:rPr>
          <w:rFonts w:ascii="Arial" w:cs="Arial" w:eastAsia="Arial" w:hAnsi="Arial"/>
          <w:sz w:val="24"/>
          <w:szCs w:val="24"/>
        </w:rPr>
        <w:t xml:space="preserve">003 - пенсионер (31604 сома * 20 * 10,25%) = 64788 сомов;</w:t>
      </w:r>
    </w:p>
    <w:p>
      <w:pPr>
        <w:spacing w:after="120"/>
        <w:ind w:firstLine="567"/>
        <w:jc w:val="both"/>
      </w:pPr>
      <w:r>
        <w:rPr>
          <w:rFonts w:ascii="Arial" w:cs="Arial" w:eastAsia="Arial" w:hAnsi="Arial"/>
          <w:sz w:val="24"/>
          <w:szCs w:val="24"/>
        </w:rPr>
        <w:t xml:space="preserve">100 - инвалид I-II группы (31604 сома * 20 * 3,25%) = 20543 сома;</w:t>
      </w:r>
    </w:p>
    <w:p>
      <w:pPr>
        <w:spacing w:after="120"/>
        <w:ind w:firstLine="567"/>
        <w:jc w:val="both"/>
      </w:pPr>
      <w:r>
        <w:rPr>
          <w:rFonts w:ascii="Arial" w:cs="Arial" w:eastAsia="Arial" w:hAnsi="Arial"/>
          <w:sz w:val="24"/>
          <w:szCs w:val="24"/>
        </w:rPr>
        <w:t xml:space="preserve">3) (31604 сома * 20 * 10%) = 63208 сомов;</w:t>
      </w:r>
    </w:p>
    <w:p>
      <w:pPr>
        <w:spacing w:after="120"/>
        <w:ind w:firstLine="567"/>
        <w:jc w:val="both"/>
      </w:pPr>
      <w:r>
        <w:rPr>
          <w:rFonts w:ascii="Arial" w:cs="Arial" w:eastAsia="Arial" w:hAnsi="Arial"/>
          <w:sz w:val="24"/>
          <w:szCs w:val="24"/>
        </w:rPr>
        <w:t xml:space="preserve">105 - гонорары, вознаграждения;</w:t>
      </w:r>
    </w:p>
    <w:p>
      <w:pPr>
        <w:spacing w:after="120"/>
        <w:ind w:firstLine="567"/>
        <w:jc w:val="both"/>
      </w:pPr>
      <w:r>
        <w:rPr>
          <w:rFonts w:ascii="Arial" w:cs="Arial" w:eastAsia="Arial" w:hAnsi="Arial"/>
          <w:sz w:val="24"/>
          <w:szCs w:val="24"/>
        </w:rPr>
        <w:t xml:space="preserve">- физические лица, осуществляющие свою деятельность без образования юридического лица, работающие на основании выданных лицензий, а также получающие гонорары (вознаграждение),</w:t>
      </w:r>
    </w:p>
    <w:p>
      <w:pPr>
        <w:spacing w:after="120"/>
        <w:ind w:firstLine="567"/>
        <w:jc w:val="both"/>
      </w:pPr>
      <w:r>
        <w:rPr>
          <w:rFonts w:ascii="Arial" w:cs="Arial" w:eastAsia="Arial" w:hAnsi="Arial"/>
          <w:sz w:val="24"/>
          <w:szCs w:val="24"/>
        </w:rPr>
        <w:t xml:space="preserve">где:</w:t>
      </w:r>
    </w:p>
    <w:p>
      <w:pPr>
        <w:spacing w:after="120"/>
        <w:ind w:firstLine="567"/>
        <w:jc w:val="both"/>
      </w:pPr>
      <w:r>
        <w:rPr>
          <w:rFonts w:ascii="Arial" w:cs="Arial" w:eastAsia="Arial" w:hAnsi="Arial"/>
          <w:sz w:val="24"/>
          <w:szCs w:val="24"/>
        </w:rPr>
        <w:t xml:space="preserve">- 31604 сома - среднемесячная заработная плата (СМЗ) по республике за предыдущий календарный год согласно данным Национального статистического комитета Кыргызской Республики;</w:t>
      </w:r>
    </w:p>
    <w:p>
      <w:pPr>
        <w:spacing w:after="120"/>
        <w:ind w:firstLine="567"/>
        <w:jc w:val="both"/>
      </w:pPr>
      <w:r>
        <w:rPr>
          <w:rFonts w:ascii="Arial" w:cs="Arial" w:eastAsia="Arial" w:hAnsi="Arial"/>
          <w:sz w:val="24"/>
          <w:szCs w:val="24"/>
        </w:rPr>
        <w:t xml:space="preserve">- 20-кратная СМЗ;</w:t>
      </w:r>
    </w:p>
    <w:p>
      <w:pPr>
        <w:spacing w:after="120"/>
        <w:ind w:firstLine="567"/>
        <w:jc w:val="both"/>
      </w:pPr>
      <w:r>
        <w:rPr>
          <w:rFonts w:ascii="Arial" w:cs="Arial" w:eastAsia="Arial" w:hAnsi="Arial"/>
          <w:sz w:val="24"/>
          <w:szCs w:val="24"/>
        </w:rPr>
        <w:t xml:space="preserve">- 27,25%, 12,25%, 10% - ставки тарифов в соответствии со статьями </w:t>
      </w:r>
      <w:hyperlink w:history="1" r:id="rIdkyv68ix-osc3rccrdyzcg">
        <w:r>
          <w:rPr>
            <w:rFonts w:ascii="Arial" w:cs="Arial" w:eastAsia="Arial" w:hAnsi="Arial"/>
            <w:color w:val="1D4ED8"/>
            <w:sz w:val="24"/>
            <w:szCs w:val="24"/>
            <w:u w:val="single"/>
          </w:rPr>
          <w:t xml:space="preserve">2</w:t>
        </w:r>
      </w:hyperlink>
      <w:r>
        <w:rPr>
          <w:rFonts w:ascii="Arial" w:cs="Arial" w:eastAsia="Arial" w:hAnsi="Arial"/>
          <w:sz w:val="24"/>
          <w:szCs w:val="24"/>
        </w:rPr>
        <w:t xml:space="preserve">, </w:t>
      </w:r>
      <w:hyperlink w:history="1" r:id="rId4wokxdsisxzngr-xs4mf2">
        <w:r>
          <w:rPr>
            <w:rFonts w:ascii="Arial" w:cs="Arial" w:eastAsia="Arial" w:hAnsi="Arial"/>
            <w:color w:val="1D4ED8"/>
            <w:sz w:val="24"/>
            <w:szCs w:val="24"/>
            <w:u w:val="single"/>
          </w:rPr>
          <w:t xml:space="preserve">2-2</w:t>
        </w:r>
      </w:hyperlink>
      <w:r>
        <w:rPr>
          <w:rFonts w:ascii="Arial" w:cs="Arial" w:eastAsia="Arial" w:hAnsi="Arial"/>
          <w:sz w:val="24"/>
          <w:szCs w:val="24"/>
        </w:rPr>
        <w:t xml:space="preserve">, </w:t>
      </w:r>
      <w:hyperlink w:history="1" r:id="rIdeiguvmzn-am9gyh5pfjnv">
        <w:r>
          <w:rPr>
            <w:rFonts w:ascii="Arial" w:cs="Arial" w:eastAsia="Arial" w:hAnsi="Arial"/>
            <w:color w:val="1D4ED8"/>
            <w:sz w:val="24"/>
            <w:szCs w:val="24"/>
            <w:u w:val="single"/>
          </w:rPr>
          <w:t xml:space="preserve">7</w:t>
        </w:r>
      </w:hyperlink>
      <w:r>
        <w:rPr>
          <w:rFonts w:ascii="Arial" w:cs="Arial" w:eastAsia="Arial" w:hAnsi="Arial"/>
          <w:sz w:val="24"/>
          <w:szCs w:val="24"/>
        </w:rPr>
        <w:t xml:space="preserve"> Закона Кыргызской Республики "О тарифах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- 001, 003, 100, 105 - категории работников.</w:t>
      </w:r>
    </w:p>
    <w:p>
      <w:pPr>
        <w:spacing w:after="120"/>
        <w:ind w:firstLine="567"/>
        <w:jc w:val="both"/>
      </w:pPr>
      <w:r>
        <w:rPr>
          <w:rFonts w:ascii="Arial" w:cs="Arial" w:eastAsia="Arial" w:hAnsi="Arial"/>
          <w:sz w:val="24"/>
          <w:szCs w:val="24"/>
        </w:rPr>
        <w:t xml:space="preserve">При этом в отчетах по подоходному налогу и средствам государственного социального страхования отражается фактический фонд оплаты труда.</w:t>
      </w:r>
    </w:p>
    <w:p>
      <w:pPr>
        <w:spacing w:after="120"/>
        <w:ind w:firstLine="567"/>
        <w:jc w:val="both"/>
      </w:pPr>
      <w:r>
        <w:rPr>
          <w:rFonts w:ascii="Arial" w:cs="Arial" w:eastAsia="Arial" w:hAnsi="Arial"/>
          <w:sz w:val="24"/>
          <w:szCs w:val="24"/>
        </w:rPr>
        <w:t xml:space="preserve">В случае если совокупная сумма страховых взносов по государственному социальному страхованию, подлежащая уплате работодателем и работником в пользу одного застрахованного лица за календарный месяц, превышает предельную величину начисленных страховых взносов, то разница этих сумм не отражается 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7) в подпункте 3 пункта 15 цифры "10" заменить цифрой "6";</w:t>
      </w:r>
    </w:p>
    <w:p>
      <w:pPr>
        <w:spacing w:after="120"/>
        <w:ind w:firstLine="567"/>
        <w:jc w:val="both"/>
      </w:pPr>
      <w:r>
        <w:rPr>
          <w:rFonts w:ascii="Arial" w:cs="Arial" w:eastAsia="Arial" w:hAnsi="Arial"/>
          <w:sz w:val="24"/>
          <w:szCs w:val="24"/>
        </w:rPr>
        <w:t xml:space="preserve">8) пункт 19 дополнить абзацами четвертым-шестым следующего содержания:</w:t>
      </w:r>
    </w:p>
    <w:p>
      <w:pPr>
        <w:spacing w:after="120"/>
        <w:ind w:firstLine="567"/>
        <w:jc w:val="both"/>
      </w:pPr>
      <w:r>
        <w:rPr>
          <w:rFonts w:ascii="Arial" w:cs="Arial" w:eastAsia="Arial" w:hAnsi="Arial"/>
          <w:sz w:val="24"/>
          <w:szCs w:val="24"/>
        </w:rPr>
        <w:t xml:space="preserve">"При подаче заявления в уполномоченный государственный орган в сфере администрирования страховых взносов о смене района порядок сдачи отчетности по подоходному налогу и средствам государственного социального страхования зависит от даты обращения:</w:t>
      </w:r>
    </w:p>
    <w:p>
      <w:pPr>
        <w:spacing w:after="120"/>
        <w:ind w:firstLine="567"/>
        <w:jc w:val="both"/>
      </w:pPr>
      <w:r>
        <w:rPr>
          <w:rFonts w:ascii="Arial" w:cs="Arial" w:eastAsia="Arial" w:hAnsi="Arial"/>
          <w:sz w:val="24"/>
          <w:szCs w:val="24"/>
        </w:rPr>
        <w:t xml:space="preserve">- до 15 числа месяца отчет за текущий период представляется в налоговый орган по прежнему месту регистрации;</w:t>
      </w:r>
    </w:p>
    <w:p>
      <w:pPr>
        <w:spacing w:after="120"/>
        <w:ind w:firstLine="567"/>
        <w:jc w:val="both"/>
      </w:pPr>
      <w:r>
        <w:rPr>
          <w:rFonts w:ascii="Arial" w:cs="Arial" w:eastAsia="Arial" w:hAnsi="Arial"/>
          <w:sz w:val="24"/>
          <w:szCs w:val="24"/>
        </w:rPr>
        <w:t xml:space="preserve">- после 15 числа месяца отчет представляется по новому месту нахождения.";</w:t>
      </w:r>
    </w:p>
    <w:p>
      <w:pPr>
        <w:spacing w:after="120"/>
        <w:ind w:firstLine="567"/>
        <w:jc w:val="both"/>
      </w:pPr>
      <w:r>
        <w:rPr>
          <w:rFonts w:ascii="Arial" w:cs="Arial" w:eastAsia="Arial" w:hAnsi="Arial"/>
          <w:sz w:val="24"/>
          <w:szCs w:val="24"/>
        </w:rPr>
        <w:t xml:space="preserve">9) абзац первый пункта 22-1 изложить в следующей редакции:</w:t>
      </w:r>
    </w:p>
    <w:p>
      <w:pPr>
        <w:spacing w:after="120"/>
        <w:ind w:firstLine="567"/>
        <w:jc w:val="both"/>
      </w:pPr>
      <w:r>
        <w:rPr>
          <w:rFonts w:ascii="Arial" w:cs="Arial" w:eastAsia="Arial" w:hAnsi="Arial"/>
          <w:sz w:val="24"/>
          <w:szCs w:val="24"/>
        </w:rPr>
        <w:t xml:space="preserve">"22-1. Плательщики страховых взносов должны соблюдать следующие требования к заполнению реквизитов расчетной ведомости/в отчетах по подоходному налогу и средствам государственного социального страхования:";</w:t>
      </w:r>
    </w:p>
    <w:p>
      <w:pPr>
        <w:spacing w:after="120"/>
        <w:ind w:firstLine="567"/>
        <w:jc w:val="both"/>
      </w:pPr>
      <w:r>
        <w:rPr>
          <w:rFonts w:ascii="Arial" w:cs="Arial" w:eastAsia="Arial" w:hAnsi="Arial"/>
          <w:sz w:val="24"/>
          <w:szCs w:val="24"/>
        </w:rPr>
        <w:t xml:space="preserve">10) пункт 44 изложить в следующей редакции:</w:t>
      </w:r>
    </w:p>
    <w:p>
      <w:pPr>
        <w:spacing w:after="120"/>
        <w:ind w:firstLine="567"/>
        <w:jc w:val="both"/>
      </w:pPr>
      <w:r>
        <w:rPr>
          <w:rFonts w:ascii="Arial" w:cs="Arial" w:eastAsia="Arial" w:hAnsi="Arial"/>
          <w:sz w:val="24"/>
          <w:szCs w:val="24"/>
        </w:rPr>
        <w:t xml:space="preserve">"44. Страховые взносы членов сельскохозяйственных кооперативов за земельные участки (доли), сданные в аренду сельскохозяйственному кооперативу, вносятся арендатором согласно земельным участкам, установленным правоудостоверяющим документом, которые распределяются на личные страховые счета арендодателя (членов кооператива).</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Крестьянское (фермерское) хозяйство без образования юридического лица "Ашымов Максат" (арендодатель), расположенное в Араванском районе Ошской области, является членом сельскохозяйственного кооператива "Келечек" (арендатор) и сдает 10 га поливной пашни в аренду данному сельскохозяйственному кооперативу.</w:t>
      </w:r>
    </w:p>
    <w:p>
      <w:pPr>
        <w:spacing w:after="120"/>
        <w:ind w:firstLine="567"/>
        <w:jc w:val="both"/>
      </w:pPr>
      <w:r>
        <w:rPr>
          <w:rFonts w:ascii="Arial" w:cs="Arial" w:eastAsia="Arial" w:hAnsi="Arial"/>
          <w:sz w:val="24"/>
          <w:szCs w:val="24"/>
        </w:rPr>
        <w:t xml:space="preserve">В соответствии с правоустанавливающими документами общее количество земли - 10 га поливной пашни на праве собственности зарегистрировано на трех членов семьи Ашымова Максата и распределяется между членами семьи в долях следующим образом:</w:t>
      </w:r>
    </w:p>
    <w:p>
      <w:pPr>
        <w:spacing w:after="120"/>
        <w:ind w:firstLine="567"/>
        <w:jc w:val="both"/>
      </w:pPr>
      <w:r>
        <w:rPr>
          <w:rFonts w:ascii="Arial" w:cs="Arial" w:eastAsia="Arial" w:hAnsi="Arial"/>
          <w:sz w:val="24"/>
          <w:szCs w:val="24"/>
        </w:rPr>
        <w:t xml:space="preserve">- 4 га земельного участка принадлежат на праве собственности Ашымову Максату (глава семьи);</w:t>
      </w:r>
    </w:p>
    <w:p>
      <w:pPr>
        <w:spacing w:after="120"/>
        <w:ind w:firstLine="567"/>
        <w:jc w:val="both"/>
      </w:pPr>
      <w:r>
        <w:rPr>
          <w:rFonts w:ascii="Arial" w:cs="Arial" w:eastAsia="Arial" w:hAnsi="Arial"/>
          <w:sz w:val="24"/>
          <w:szCs w:val="24"/>
        </w:rPr>
        <w:t xml:space="preserve">- 4 га земельного участка - Ашымовой Миргуль (супруга главы семьи);</w:t>
      </w:r>
    </w:p>
    <w:p>
      <w:pPr>
        <w:spacing w:after="120"/>
        <w:ind w:firstLine="567"/>
        <w:jc w:val="both"/>
      </w:pPr>
      <w:r>
        <w:rPr>
          <w:rFonts w:ascii="Arial" w:cs="Arial" w:eastAsia="Arial" w:hAnsi="Arial"/>
          <w:sz w:val="24"/>
          <w:szCs w:val="24"/>
        </w:rPr>
        <w:t xml:space="preserve">- 2 га земельного участка - Ашымовой Гульзат (дочь главы семьи).</w:t>
      </w:r>
    </w:p>
    <w:p>
      <w:pPr>
        <w:spacing w:after="120"/>
        <w:ind w:firstLine="567"/>
        <w:jc w:val="both"/>
      </w:pPr>
      <w:r>
        <w:rPr>
          <w:rFonts w:ascii="Arial" w:cs="Arial" w:eastAsia="Arial" w:hAnsi="Arial"/>
          <w:sz w:val="24"/>
          <w:szCs w:val="24"/>
        </w:rPr>
        <w:t xml:space="preserve">Арендатор - сельскохозяйственный кооператив "Келечек" уплачивает страховые взносы за арендодателей (членов кооператива) на счет регионального органа страховщика. Соответственно внесенные арендатором (сельскохозяйственный кооператив "Келечек") страховые взносы заносятся на личные страховые счета арендодателя (физического лица - Ашымова Максата и членов его семьи) пропорционально земельным долям.</w:t>
      </w:r>
    </w:p>
    <w:p>
      <w:pPr>
        <w:spacing w:after="120"/>
        <w:ind w:firstLine="567"/>
        <w:jc w:val="both"/>
      </w:pPr>
      <w:r>
        <w:rPr>
          <w:rFonts w:ascii="Arial" w:cs="Arial" w:eastAsia="Arial" w:hAnsi="Arial"/>
          <w:sz w:val="24"/>
          <w:szCs w:val="24"/>
        </w:rPr>
        <w:t xml:space="preserve">Расчет уплаты страховых взносов за период с 2017 года до июня 2025 года сельскохозяйственных кооперативов за физическое лицо (арендодателя) будет производиться следующим образом: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0"/>
        <w:gridCol w:w="4346"/>
        <w:gridCol w:w="2026"/>
        <w:gridCol w:w="2026"/>
        <w:gridCol w:w="1470"/>
      </w:tblGrid>
      <w:tr>
        <w:tc>
          <w:tcPr>
            <w:tcW w:type="dxa" w:w="310"/>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434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Члены сельскохозяйственного кооператива (арендодатели)</w:t>
            </w:r>
          </w:p>
        </w:tc>
        <w:tc>
          <w:tcPr>
            <w:tcW w:type="dxa" w:w="4052"/>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Орошаемая пашня</w:t>
            </w:r>
          </w:p>
        </w:tc>
        <w:tc>
          <w:tcPr>
            <w:tcW w:type="dxa" w:w="147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Начислено (сомов)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га</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Базовая ставка тарифа страховых взносов (сомов)</w:t>
            </w:r>
          </w:p>
        </w:tc>
        <w:tc>
          <w:tcPr>
            <w:vMerge w:val="continue"/>
            <w:tcBorders>
              <w:top w:val="single" w:color="CBBF9E" w:sz="4"/>
              <w:left w:val="none" w:color="auto" w:sz="0"/>
              <w:bottom w:val="single" w:color="CBBF9E" w:sz="4"/>
              <w:right w:val="single" w:color="CBBF9E" w:sz="4"/>
            </w:tcBorders>
          </w:tcP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Ашымов Максат</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1744</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Ашымова Миргуль</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1744</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Ашымова Гульзат</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w:t>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872</w:t>
            </w:r>
          </w:p>
        </w:tc>
      </w:tr>
      <w:tr>
        <w:tc>
          <w:tcPr>
            <w:tcW w:type="dxa" w:w="310"/>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3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Всего</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2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47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4360</w:t>
            </w:r>
          </w:p>
        </w:tc>
      </w:tr>
    </w:tbl>
    <w:p>
      <w:pPr>
        <w:spacing w:after="120" w:before="120"/>
        <w:ind w:firstLine="567"/>
        <w:jc w:val="both"/>
      </w:pPr>
      <w:r>
        <w:rPr>
          <w:rFonts w:ascii="Arial" w:cs="Arial" w:eastAsia="Arial" w:hAnsi="Arial"/>
          <w:sz w:val="24"/>
          <w:szCs w:val="24"/>
        </w:rPr>
        <w:t xml:space="preserve">Арендатор (сельскохозяйственный кооператив "Келечек") распределяет суммы страховых взносов между членами семьи арендодателя пропорционально долям земельных участков, где 4360 сомов составляют 100 процентов страховых взносов, подлежащих уплате за 10 га, из них 40 процентов доли за 4 га Ашымову Максату - 1744 сома, 40 процентов доли за 4 га Ашымовой Миргуль - 1744 сома, 20 процентов доли за 2 га Ашымовой Гульзат - 872 сома, и вносит страховые взносы на счет регионального органа страховщика в сумме 4360 сомов.";</w:t>
      </w:r>
    </w:p>
    <w:p>
      <w:pPr>
        <w:spacing w:after="120"/>
        <w:ind w:firstLine="567"/>
        <w:jc w:val="both"/>
      </w:pPr>
      <w:r>
        <w:rPr>
          <w:rFonts w:ascii="Arial" w:cs="Arial" w:eastAsia="Arial" w:hAnsi="Arial"/>
          <w:sz w:val="24"/>
          <w:szCs w:val="24"/>
        </w:rPr>
        <w:t xml:space="preserve">11) в пункте 47:</w:t>
      </w:r>
    </w:p>
    <w:p>
      <w:pPr>
        <w:spacing w:after="120"/>
        <w:ind w:firstLine="567"/>
        <w:jc w:val="both"/>
      </w:pPr>
      <w:r>
        <w:rPr>
          <w:rFonts w:ascii="Arial" w:cs="Arial" w:eastAsia="Arial" w:hAnsi="Arial"/>
          <w:sz w:val="24"/>
          <w:szCs w:val="24"/>
        </w:rPr>
        <w:t xml:space="preserve">- подпункт 5 признать утратившим силу;</w:t>
      </w:r>
    </w:p>
    <w:p>
      <w:pPr>
        <w:spacing w:after="120"/>
        <w:ind w:firstLine="567"/>
        <w:jc w:val="both"/>
      </w:pPr>
      <w:r>
        <w:rPr>
          <w:rFonts w:ascii="Arial" w:cs="Arial" w:eastAsia="Arial" w:hAnsi="Arial"/>
          <w:sz w:val="24"/>
          <w:szCs w:val="24"/>
        </w:rPr>
        <w:t xml:space="preserve">- подпункт 7 изложить в следующей редакции:</w:t>
      </w:r>
    </w:p>
    <w:p>
      <w:pPr>
        <w:spacing w:after="120"/>
        <w:ind w:firstLine="567"/>
        <w:jc w:val="both"/>
      </w:pPr>
      <w:r>
        <w:rPr>
          <w:rFonts w:ascii="Arial" w:cs="Arial" w:eastAsia="Arial" w:hAnsi="Arial"/>
          <w:sz w:val="24"/>
          <w:szCs w:val="24"/>
        </w:rPr>
        <w:t xml:space="preserve">"7) физические лица, в том числе осуществляющие трудовую деятельность за рубежом, желающие на добровольной основе пополнить личный страховой счет путем приобретения страхового полиса на текущий и/или будущий период;";</w:t>
      </w:r>
    </w:p>
    <w:p>
      <w:pPr>
        <w:spacing w:after="120"/>
        <w:ind w:firstLine="567"/>
        <w:jc w:val="both"/>
      </w:pPr>
      <w:r>
        <w:rPr>
          <w:rFonts w:ascii="Arial" w:cs="Arial" w:eastAsia="Arial" w:hAnsi="Arial"/>
          <w:sz w:val="24"/>
          <w:szCs w:val="24"/>
        </w:rPr>
        <w:t xml:space="preserve">- подпункт 14 признать утратившим силу;</w:t>
      </w:r>
    </w:p>
    <w:p>
      <w:pPr>
        <w:spacing w:after="120"/>
        <w:ind w:firstLine="567"/>
        <w:jc w:val="both"/>
      </w:pPr>
      <w:r>
        <w:rPr>
          <w:rFonts w:ascii="Arial" w:cs="Arial" w:eastAsia="Arial" w:hAnsi="Arial"/>
          <w:sz w:val="24"/>
          <w:szCs w:val="24"/>
        </w:rPr>
        <w:t xml:space="preserve">12) пункт 49 изложить в следующей редакции:</w:t>
      </w:r>
    </w:p>
    <w:p>
      <w:pPr>
        <w:spacing w:after="120"/>
        <w:ind w:firstLine="567"/>
        <w:jc w:val="both"/>
      </w:pPr>
      <w:r>
        <w:rPr>
          <w:rFonts w:ascii="Arial" w:cs="Arial" w:eastAsia="Arial" w:hAnsi="Arial"/>
          <w:sz w:val="24"/>
          <w:szCs w:val="24"/>
        </w:rPr>
        <w:t xml:space="preserve">"49. Страховой полис оформляется в электронном формате (электронный страховой полис).</w:t>
      </w:r>
    </w:p>
    <w:p>
      <w:pPr>
        <w:spacing w:after="120"/>
        <w:ind w:firstLine="567"/>
        <w:jc w:val="both"/>
      </w:pPr>
      <w:r>
        <w:rPr>
          <w:rFonts w:ascii="Arial" w:cs="Arial" w:eastAsia="Arial" w:hAnsi="Arial"/>
          <w:sz w:val="24"/>
          <w:szCs w:val="24"/>
        </w:rPr>
        <w:t xml:space="preserve">Сумма страхового взноса может вноситься налогоплательщиком в наличной и безналичной формах через учреждение банка, периферийные устройства, POS-терминал, электронный кошелек, интернет и/или мобильный банкинг.</w:t>
      </w:r>
    </w:p>
    <w:p>
      <w:pPr>
        <w:spacing w:after="120"/>
        <w:ind w:firstLine="567"/>
        <w:jc w:val="both"/>
      </w:pPr>
      <w:r>
        <w:rPr>
          <w:rFonts w:ascii="Arial" w:cs="Arial" w:eastAsia="Arial" w:hAnsi="Arial"/>
          <w:sz w:val="24"/>
          <w:szCs w:val="24"/>
        </w:rPr>
        <w:t xml:space="preserve">Электронный страховой полис выдается территориальными подразделениями уполномоченного органа по месту осуществления предпринимательской деятельности или месту жительства индивидуального предпринимателя, физического лица, а также приобретается через личный кабинет налогоплательщика и цифровые платформы третьих лиц (коммерческих банков, операторов мобильной связи и т.д.) по форме, в сроки и порядке, утвержденным уполномоченным органом.</w:t>
      </w:r>
    </w:p>
    <w:p>
      <w:pPr>
        <w:spacing w:after="120"/>
        <w:ind w:firstLine="567"/>
        <w:jc w:val="both"/>
      </w:pPr>
      <w:r>
        <w:rPr>
          <w:rFonts w:ascii="Arial" w:cs="Arial" w:eastAsia="Arial" w:hAnsi="Arial"/>
          <w:sz w:val="24"/>
          <w:szCs w:val="24"/>
        </w:rPr>
        <w:t xml:space="preserve">Индивидуальные предприниматели, физические лица, осуществляющие деятельность на основе патента, приобретают страховые полисы на каждый патент отдельно и на срок его действия.</w:t>
      </w:r>
    </w:p>
    <w:p>
      <w:pPr>
        <w:spacing w:after="120"/>
        <w:ind w:firstLine="567"/>
        <w:jc w:val="both"/>
      </w:pPr>
      <w:r>
        <w:rPr>
          <w:rFonts w:ascii="Arial" w:cs="Arial" w:eastAsia="Arial" w:hAnsi="Arial"/>
          <w:sz w:val="24"/>
          <w:szCs w:val="24"/>
        </w:rPr>
        <w:t xml:space="preserve">Для определения стоимости страхового полиса, приобретаемого на срок действия патента, исчисляется сумма страхового взноса за один день путем деления месячной суммы на 30 дней. Далее однодневная сумма страхового взноса умножается на количество дней срока, на который выдан патент.</w:t>
      </w:r>
    </w:p>
    <w:p>
      <w:pPr>
        <w:spacing w:after="120"/>
        <w:ind w:firstLine="567"/>
        <w:jc w:val="both"/>
      </w:pPr>
      <w:r>
        <w:rPr>
          <w:rFonts w:ascii="Arial" w:cs="Arial" w:eastAsia="Arial" w:hAnsi="Arial"/>
          <w:sz w:val="24"/>
          <w:szCs w:val="24"/>
        </w:rPr>
        <w:t xml:space="preserve">Пример:</w:t>
      </w:r>
    </w:p>
    <w:p>
      <w:pPr>
        <w:spacing w:after="120"/>
        <w:ind w:firstLine="567"/>
        <w:jc w:val="both"/>
      </w:pPr>
      <w:r>
        <w:rPr>
          <w:rFonts w:ascii="Arial" w:cs="Arial" w:eastAsia="Arial" w:hAnsi="Arial"/>
          <w:sz w:val="24"/>
          <w:szCs w:val="24"/>
        </w:rPr>
        <w:t xml:space="preserve">индивидуальный предприниматель Касымов Э. в 2024 году приобретает патент на вид деятельности "Услуги по организации отдыха и развлечений: платные настольные игры за 1 стол/доску (теннис, шахматы, нарды и прочие настольные игры)" сроком на 15 дней в городе Бишкек. Ежемесячная ставка тарифа для него установлена в размере не менее 6% от среднемесячной заработной платы. Сумма страхового взноса, подлежащая уплате за 15 дней, будет рассчитана следующим образом:</w:t>
      </w:r>
    </w:p>
    <w:p>
      <w:pPr>
        <w:spacing w:after="120"/>
        <w:ind w:firstLine="567"/>
        <w:jc w:val="both"/>
      </w:pPr>
      <w:r>
        <w:rPr>
          <w:rFonts w:ascii="Arial" w:cs="Arial" w:eastAsia="Arial" w:hAnsi="Arial"/>
          <w:sz w:val="24"/>
          <w:szCs w:val="24"/>
        </w:rPr>
        <w:t xml:space="preserve">среднемесячная заработная плата без учета данных по предприятиям и организациям, уровень среднемесячной заработной платы на которых более чем на 50% превышает средний уровень заработной платы по республике в целом, по городу Бишкек за 2022 год для исчисления страховых взносов в 2024 году составляет 20390 сомов;</w:t>
      </w:r>
    </w:p>
    <w:p>
      <w:pPr>
        <w:spacing w:after="120"/>
        <w:ind w:firstLine="567"/>
        <w:jc w:val="both"/>
      </w:pPr>
      <w:r>
        <w:rPr>
          <w:rFonts w:ascii="Arial" w:cs="Arial" w:eastAsia="Arial" w:hAnsi="Arial"/>
          <w:sz w:val="24"/>
          <w:szCs w:val="24"/>
        </w:rPr>
        <w:t xml:space="preserve">20390 сомов * 6% : 30 дней * 15 дней = 612 сомов.</w:t>
      </w:r>
    </w:p>
    <w:p>
      <w:pPr>
        <w:spacing w:after="120"/>
        <w:ind w:firstLine="567"/>
        <w:jc w:val="both"/>
      </w:pPr>
      <w:r>
        <w:rPr>
          <w:rFonts w:ascii="Arial" w:cs="Arial" w:eastAsia="Arial" w:hAnsi="Arial"/>
          <w:sz w:val="24"/>
          <w:szCs w:val="24"/>
        </w:rPr>
        <w:t xml:space="preserve">Для лиц, уплачивающих налоги по упрощенной системе налогообложения на основе единого налога (в том числе получающих доход от сдачи в аренду движимого и недвижимого имущества и торговой деятельности), работающих на основании выданных лицензий, а также получающих гонорары (вознаграждение), полис выдается на число календарных дней в месяце.</w:t>
      </w:r>
    </w:p>
    <w:p>
      <w:pPr>
        <w:spacing w:after="120"/>
        <w:ind w:firstLine="567"/>
        <w:jc w:val="both"/>
      </w:pPr>
      <w:r>
        <w:rPr>
          <w:rFonts w:ascii="Arial" w:cs="Arial" w:eastAsia="Arial" w:hAnsi="Arial"/>
          <w:sz w:val="24"/>
          <w:szCs w:val="24"/>
        </w:rPr>
        <w:t xml:space="preserve">Электронный страховой полис приобретается:</w:t>
      </w:r>
    </w:p>
    <w:p>
      <w:pPr>
        <w:spacing w:after="120"/>
        <w:ind w:firstLine="567"/>
        <w:jc w:val="both"/>
      </w:pPr>
      <w:r>
        <w:rPr>
          <w:rFonts w:ascii="Arial" w:cs="Arial" w:eastAsia="Arial" w:hAnsi="Arial"/>
          <w:sz w:val="24"/>
          <w:szCs w:val="24"/>
        </w:rPr>
        <w:t xml:space="preserve">- за предыдущий период с учетом пеней и штрафов на основании документов, подтверждающих статус индивидуального предпринимателя за прошлые годы (патент, свидетельство, налоговые отчеты и т.д.), за исключением добровольных страховых полисов. При этом уполномоченный государственный орган начисляет пеню в размере 0,09% за каждый день просрочки на сумму задолженности по страховым взносам за предыдущий период. Пеня начисляется начиная с первого числа месяца, следующего за месяцем, за который должен был быть приобретен страховой полис, и по день уплаты включительно;</w:t>
      </w:r>
    </w:p>
    <w:p>
      <w:pPr>
        <w:spacing w:after="120"/>
        <w:ind w:firstLine="567"/>
        <w:jc w:val="both"/>
      </w:pPr>
      <w:r>
        <w:rPr>
          <w:rFonts w:ascii="Arial" w:cs="Arial" w:eastAsia="Arial" w:hAnsi="Arial"/>
          <w:sz w:val="24"/>
          <w:szCs w:val="24"/>
        </w:rPr>
        <w:t xml:space="preserve">- за текущий месяц или до начала осуществления деятельности;</w:t>
      </w:r>
    </w:p>
    <w:p>
      <w:pPr>
        <w:spacing w:after="120"/>
        <w:ind w:firstLine="567"/>
        <w:jc w:val="both"/>
      </w:pPr>
      <w:r>
        <w:rPr>
          <w:rFonts w:ascii="Arial" w:cs="Arial" w:eastAsia="Arial" w:hAnsi="Arial"/>
          <w:sz w:val="24"/>
          <w:szCs w:val="24"/>
        </w:rPr>
        <w:t xml:space="preserve">- в счет будущих периодов.";</w:t>
      </w:r>
    </w:p>
    <w:p>
      <w:pPr>
        <w:spacing w:after="120"/>
        <w:ind w:firstLine="567"/>
        <w:jc w:val="both"/>
      </w:pPr>
      <w:r>
        <w:rPr>
          <w:rFonts w:ascii="Arial" w:cs="Arial" w:eastAsia="Arial" w:hAnsi="Arial"/>
          <w:sz w:val="24"/>
          <w:szCs w:val="24"/>
        </w:rPr>
        <w:t xml:space="preserve">13) пункт 50 дополнить абзацем третьим следующего содержания:</w:t>
      </w:r>
    </w:p>
    <w:p>
      <w:pPr>
        <w:spacing w:after="120"/>
        <w:ind w:firstLine="567"/>
        <w:jc w:val="both"/>
      </w:pPr>
      <w:r>
        <w:rPr>
          <w:rFonts w:ascii="Arial" w:cs="Arial" w:eastAsia="Arial" w:hAnsi="Arial"/>
          <w:sz w:val="24"/>
          <w:szCs w:val="24"/>
        </w:rPr>
        <w:t xml:space="preserve">"Физические лица, осуществляющие трудовую деятельность за рубежом, при добровольной уплате страховых взносов страховые полисы приобретают на число календарных дней в месяце. При этом в случае уплаты от размера среднемесячной заработной платы для исчисления страховых взносов принимается среднемесячная заработная плата по республике за предыдущий календарный год.";</w:t>
      </w:r>
    </w:p>
    <w:p>
      <w:pPr>
        <w:spacing w:after="120"/>
        <w:ind w:firstLine="567"/>
        <w:jc w:val="both"/>
      </w:pPr>
      <w:r>
        <w:rPr>
          <w:rFonts w:ascii="Arial" w:cs="Arial" w:eastAsia="Arial" w:hAnsi="Arial"/>
          <w:sz w:val="24"/>
          <w:szCs w:val="24"/>
        </w:rPr>
        <w:t xml:space="preserve">14) пункт 61 изложить в следующей редакции:</w:t>
      </w:r>
    </w:p>
    <w:p>
      <w:pPr>
        <w:spacing w:after="120"/>
        <w:ind w:firstLine="567"/>
        <w:jc w:val="both"/>
      </w:pPr>
      <w:r>
        <w:rPr>
          <w:rFonts w:ascii="Arial" w:cs="Arial" w:eastAsia="Arial" w:hAnsi="Arial"/>
          <w:sz w:val="24"/>
          <w:szCs w:val="24"/>
        </w:rPr>
        <w:t xml:space="preserve">"61. Не подлежит возврату сумма уплаченных страховых взносов, по которым сформирован электронный страховой полис, за исключением аннулированного страхового полиса, указанного в пункте 61-1 настоящей Инструкции.";</w:t>
      </w:r>
    </w:p>
    <w:p>
      <w:pPr>
        <w:spacing w:after="120"/>
        <w:ind w:firstLine="567"/>
        <w:jc w:val="both"/>
      </w:pPr>
      <w:r>
        <w:rPr>
          <w:rFonts w:ascii="Arial" w:cs="Arial" w:eastAsia="Arial" w:hAnsi="Arial"/>
          <w:sz w:val="24"/>
          <w:szCs w:val="24"/>
        </w:rPr>
        <w:t xml:space="preserve">15) дополнить пунктом 61-1 следующего содержания:</w:t>
      </w:r>
    </w:p>
    <w:p>
      <w:pPr>
        <w:spacing w:after="120"/>
        <w:ind w:firstLine="567"/>
        <w:jc w:val="both"/>
      </w:pPr>
      <w:r>
        <w:rPr>
          <w:rFonts w:ascii="Arial" w:cs="Arial" w:eastAsia="Arial" w:hAnsi="Arial"/>
          <w:sz w:val="24"/>
          <w:szCs w:val="24"/>
        </w:rPr>
        <w:t xml:space="preserve">"61-1. По выбору застрахованного лица страховой полис, приобретенный для восстановления страхового стажа лицами с инвалидностью, не имеющими права на пенсию по инвалидности (не имеющие страховой стаж до наступления инвалидности), или лицами с инвалидностью, освобожденными от уплаты страховых взносов по государственному социальному страхованию, подлежит аннулированию.</w:t>
      </w:r>
    </w:p>
    <w:p>
      <w:pPr>
        <w:spacing w:after="120"/>
        <w:ind w:firstLine="567"/>
        <w:jc w:val="both"/>
      </w:pPr>
      <w:r>
        <w:rPr>
          <w:rFonts w:ascii="Arial" w:cs="Arial" w:eastAsia="Arial" w:hAnsi="Arial"/>
          <w:sz w:val="24"/>
          <w:szCs w:val="24"/>
        </w:rPr>
        <w:t xml:space="preserve">При этом после аннулирования страхового полиса уплаченные страховые взносы считаются излишне уплаченной суммой страховых взносов и подлежат возврату плательщику.</w:t>
      </w:r>
    </w:p>
    <w:p>
      <w:pPr>
        <w:spacing w:after="120"/>
        <w:ind w:firstLine="567"/>
        <w:jc w:val="both"/>
      </w:pPr>
      <w:r>
        <w:rPr>
          <w:rFonts w:ascii="Arial" w:cs="Arial" w:eastAsia="Arial" w:hAnsi="Arial"/>
          <w:sz w:val="24"/>
          <w:szCs w:val="24"/>
        </w:rPr>
        <w:t xml:space="preserve">Аннулированный страховой полис - это страховой полис который официально признан недействительным и больше не порождает страховых обязательств между страхователем и страховщиком.";</w:t>
      </w:r>
    </w:p>
    <w:p>
      <w:pPr>
        <w:spacing w:after="120"/>
        <w:ind w:firstLine="567"/>
        <w:jc w:val="both"/>
      </w:pPr>
      <w:r>
        <w:rPr>
          <w:rFonts w:ascii="Arial" w:cs="Arial" w:eastAsia="Arial" w:hAnsi="Arial"/>
          <w:sz w:val="24"/>
          <w:szCs w:val="24"/>
        </w:rPr>
        <w:t xml:space="preserve">16) пункт 81 изложить в следующей редакции:</w:t>
      </w:r>
    </w:p>
    <w:p>
      <w:pPr>
        <w:spacing w:after="120"/>
        <w:ind w:firstLine="567"/>
        <w:jc w:val="both"/>
      </w:pPr>
      <w:r>
        <w:rPr>
          <w:rFonts w:ascii="Arial" w:cs="Arial" w:eastAsia="Arial" w:hAnsi="Arial"/>
          <w:sz w:val="24"/>
          <w:szCs w:val="24"/>
        </w:rPr>
        <w:t xml:space="preserve">"81. Начисление и уплата страховых взносов за нанятых работников, являющихся гражданами государств-членов Евразийского экономического союза (далее - ЕАЭС), Турецкой Республики, Китайской Народной Республики, страхователем осуществляются по ставкам тарифов страховых взносов по соответствующей категории, установленным для граждан Кыргызской Республики.</w:t>
      </w:r>
    </w:p>
    <w:p>
      <w:pPr>
        <w:spacing w:after="120"/>
        <w:ind w:firstLine="567"/>
        <w:jc w:val="both"/>
      </w:pPr>
      <w:r>
        <w:rPr>
          <w:rFonts w:ascii="Arial" w:cs="Arial" w:eastAsia="Arial" w:hAnsi="Arial"/>
          <w:sz w:val="24"/>
          <w:szCs w:val="24"/>
        </w:rPr>
        <w:t xml:space="preserve">Ставки тарифов страховых взносов, предусмотренные для пенсионеров и инвалидов, не применяются в отношении нанятых работников, являющихся гражданами государств-членов ЕАЭС, Турецкой Республики, Китайской Народной Республики, за исключением граждан государств-членов ЕАЭС, Турецкой Республики, Китайской Народной Республики, ставших пенсионерами или инвалидами по законодательству Кыргызской Республики, в соответствии с Соглашением о пенсионном обеспечении трудящихся государств-членов ЕАЭС, Договором о социальном обеспечении между Правительством Кыргызской Республики и Правительством Турецкой Республики, Соглашением о социальном страховании между Кабинетом Министров Кыргызской Республики и Правительством Китайской Народной Республики.";</w:t>
      </w:r>
    </w:p>
    <w:p>
      <w:pPr>
        <w:spacing w:after="120"/>
        <w:ind w:firstLine="567"/>
        <w:jc w:val="both"/>
      </w:pPr>
      <w:r>
        <w:rPr>
          <w:rFonts w:ascii="Arial" w:cs="Arial" w:eastAsia="Arial" w:hAnsi="Arial"/>
          <w:sz w:val="24"/>
          <w:szCs w:val="24"/>
        </w:rPr>
        <w:t xml:space="preserve">17) дополнить пунктом 83 следующего содержания:</w:t>
      </w:r>
    </w:p>
    <w:p>
      <w:pPr>
        <w:spacing w:after="120"/>
        <w:ind w:firstLine="567"/>
        <w:jc w:val="both"/>
      </w:pPr>
      <w:r>
        <w:rPr>
          <w:rFonts w:ascii="Arial" w:cs="Arial" w:eastAsia="Arial" w:hAnsi="Arial"/>
          <w:sz w:val="24"/>
          <w:szCs w:val="24"/>
        </w:rPr>
        <w:t xml:space="preserve">"83. Граждане Китайской Народной Республики подлежат освобождению от уплаты страховых взносов при предоставлении в Социальный фонд согласованных в соответствии с Административным соглашением по реализации Соглашения о социальном страховании между Кабинетом Министров Кыргызской Республики и Правительством Китайской Народной Республики сертификатов, подтверждающих, что застрахованное лицо будет продолжать подпадать под законодательство Китайской Народной Республики:</w:t>
      </w:r>
    </w:p>
    <w:p>
      <w:pPr>
        <w:spacing w:after="120"/>
        <w:ind w:firstLine="567"/>
        <w:jc w:val="both"/>
      </w:pPr>
      <w:r>
        <w:rPr>
          <w:rFonts w:ascii="Arial" w:cs="Arial" w:eastAsia="Arial" w:hAnsi="Arial"/>
          <w:sz w:val="24"/>
          <w:szCs w:val="24"/>
        </w:rPr>
        <w:t xml:space="preserve">1) лицо, нанятое на территории Китайской Народной Республики работодателем, имеющим коммерческое предприятие в Китайской Народной Республике, и направленное этим работодателем на территорию Кыргызской Республики в контексте этой работы по найму для оказания услуг указанному работодателю на период, не превышающий 24 месяцев;</w:t>
      </w:r>
    </w:p>
    <w:p>
      <w:pPr>
        <w:spacing w:after="120"/>
        <w:ind w:firstLine="567"/>
        <w:jc w:val="both"/>
      </w:pPr>
      <w:r>
        <w:rPr>
          <w:rFonts w:ascii="Arial" w:cs="Arial" w:eastAsia="Arial" w:hAnsi="Arial"/>
          <w:sz w:val="24"/>
          <w:szCs w:val="24"/>
        </w:rPr>
        <w:t xml:space="preserve">2) самозанятое лицо с территории Китайской Народной Республики, перемещающееся на территорию Кыргызской Республики для выполнения временной работы на период, не превышающий 24 месяцев;</w:t>
      </w:r>
    </w:p>
    <w:p>
      <w:pPr>
        <w:spacing w:after="120"/>
        <w:ind w:firstLine="567"/>
        <w:jc w:val="both"/>
      </w:pPr>
      <w:r>
        <w:rPr>
          <w:rFonts w:ascii="Arial" w:cs="Arial" w:eastAsia="Arial" w:hAnsi="Arial"/>
          <w:sz w:val="24"/>
          <w:szCs w:val="24"/>
        </w:rPr>
        <w:t xml:space="preserve">3) лицо из числа сотрудников предприятия Китайской Народной Республики, осуществляющего по найму или от своего имени международные транспортные перевозки пассажиров или грузов автомобильным, железнодорожным, воздушным или морским видом транспорта и имеющего зарегистрированный офис на территории Кыргызской Республики;</w:t>
      </w:r>
    </w:p>
    <w:p>
      <w:pPr>
        <w:spacing w:after="120"/>
        <w:ind w:firstLine="567"/>
        <w:jc w:val="both"/>
      </w:pPr>
      <w:r>
        <w:rPr>
          <w:rFonts w:ascii="Arial" w:cs="Arial" w:eastAsia="Arial" w:hAnsi="Arial"/>
          <w:sz w:val="24"/>
          <w:szCs w:val="24"/>
        </w:rPr>
        <w:t xml:space="preserve">4) лицо, трудоустроенное в филиале или постоянном представительстве предприятия Китайской Народной Республики, основанного на территории Кыргызской Республики;</w:t>
      </w:r>
    </w:p>
    <w:p>
      <w:pPr>
        <w:spacing w:after="120"/>
        <w:ind w:firstLine="567"/>
        <w:jc w:val="both"/>
      </w:pPr>
      <w:r>
        <w:rPr>
          <w:rFonts w:ascii="Arial" w:cs="Arial" w:eastAsia="Arial" w:hAnsi="Arial"/>
          <w:sz w:val="24"/>
          <w:szCs w:val="24"/>
        </w:rPr>
        <w:t xml:space="preserve">5) государственные служащие Китайской Народной Республики и лица, считающиеся таковыми, направленные на территорию Кыргызской Республики.</w:t>
      </w:r>
    </w:p>
    <w:p>
      <w:pPr>
        <w:spacing w:after="120"/>
        <w:ind w:firstLine="567"/>
        <w:jc w:val="both"/>
      </w:pPr>
      <w:r>
        <w:rPr>
          <w:rFonts w:ascii="Arial" w:cs="Arial" w:eastAsia="Arial" w:hAnsi="Arial"/>
          <w:sz w:val="24"/>
          <w:szCs w:val="24"/>
        </w:rPr>
        <w:t xml:space="preserve">Указанный в подпунктах 1, 2 настоящего пункта период может быть продлен на срок до 60 месяцев в целом по предварительному согласованию с уполномоченными или компетентными органами сторон по вопросам государственного социального страхования.";</w:t>
      </w:r>
    </w:p>
    <w:p>
      <w:pPr>
        <w:spacing w:after="120"/>
        <w:ind w:firstLine="567"/>
        <w:jc w:val="both"/>
      </w:pPr>
      <w:r>
        <w:rPr>
          <w:rFonts w:ascii="Arial" w:cs="Arial" w:eastAsia="Arial" w:hAnsi="Arial"/>
          <w:sz w:val="24"/>
          <w:szCs w:val="24"/>
        </w:rPr>
        <w:t xml:space="preserve">18) </w:t>
      </w:r>
      <w:r>
        <w:rPr>
          <w:rFonts w:ascii="Arial" w:cs="Arial" w:eastAsia="Arial" w:hAnsi="Arial"/>
          <w:sz w:val="24"/>
          <w:szCs w:val="24"/>
        </w:rPr>
        <w:t xml:space="preserve">приложение 1</w:t>
      </w:r>
      <w:r>
        <w:rPr>
          <w:rFonts w:ascii="Arial" w:cs="Arial" w:eastAsia="Arial" w:hAnsi="Arial"/>
          <w:sz w:val="24"/>
          <w:szCs w:val="24"/>
        </w:rPr>
        <w:t xml:space="preserve"> к вышеуказанной </w:t>
      </w:r>
      <w:r>
        <w:rPr>
          <w:rFonts w:ascii="Arial" w:cs="Arial" w:eastAsia="Arial" w:hAnsi="Arial"/>
          <w:sz w:val="24"/>
          <w:szCs w:val="24"/>
        </w:rPr>
        <w:t xml:space="preserve">Инструкции</w:t>
      </w:r>
      <w:r>
        <w:rPr>
          <w:rFonts w:ascii="Arial" w:cs="Arial" w:eastAsia="Arial" w:hAnsi="Arial"/>
          <w:sz w:val="24"/>
          <w:szCs w:val="24"/>
        </w:rPr>
        <w:t xml:space="preserve"> изложить в редакции согласно </w:t>
      </w:r>
      <w:hyperlink w:history="1" r:id="rIdkfrf_dj9cr2srhwj376to">
        <w:r>
          <w:rPr>
            <w:rFonts w:ascii="Arial" w:cs="Arial" w:eastAsia="Arial" w:hAnsi="Arial"/>
            <w:color w:val="1D4ED8"/>
            <w:sz w:val="24"/>
            <w:szCs w:val="24"/>
            <w:u w:val="single"/>
          </w:rPr>
          <w:t xml:space="preserve">приложению </w:t>
        </w:r>
      </w:hyperlink>
      <w:r>
        <w:rPr>
          <w:rFonts w:ascii="Arial" w:cs="Arial" w:eastAsia="Arial" w:hAnsi="Arial"/>
          <w:sz w:val="24"/>
          <w:szCs w:val="24"/>
        </w:rPr>
        <w:t xml:space="preserve">к настоящему постановлению;</w:t>
      </w:r>
    </w:p>
    <w:p>
      <w:pPr>
        <w:spacing w:after="120"/>
        <w:ind w:firstLine="567"/>
        <w:jc w:val="both"/>
      </w:pPr>
      <w:r>
        <w:rPr>
          <w:rFonts w:ascii="Arial" w:cs="Arial" w:eastAsia="Arial" w:hAnsi="Arial"/>
          <w:sz w:val="24"/>
          <w:szCs w:val="24"/>
        </w:rPr>
        <w:t xml:space="preserve">19) </w:t>
      </w:r>
      <w:r>
        <w:rPr>
          <w:rFonts w:ascii="Arial" w:cs="Arial" w:eastAsia="Arial" w:hAnsi="Arial"/>
          <w:sz w:val="24"/>
          <w:szCs w:val="24"/>
        </w:rPr>
        <w:t xml:space="preserve">в приложении 5</w:t>
      </w: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 название главы 3 изложить в следующей редакции:</w:t>
      </w:r>
    </w:p>
    <w:p>
      <w:pPr>
        <w:spacing w:after="120"/>
        <w:ind w:firstLine="567"/>
        <w:jc w:val="both"/>
      </w:pPr>
      <w:r>
        <w:rPr>
          <w:rFonts w:ascii="Arial" w:cs="Arial" w:eastAsia="Arial" w:hAnsi="Arial"/>
          <w:sz w:val="24"/>
          <w:szCs w:val="24"/>
        </w:rPr>
        <w:t xml:space="preserve">"3. Тарифы для субъектов предпринимательства, осуществляющих производственную деятельность в швейной и текстильной промышленности, а также работающих у них лиц, до 1 января 2030 года";</w:t>
      </w:r>
    </w:p>
    <w:p>
      <w:pPr>
        <w:spacing w:after="120"/>
        <w:ind w:firstLine="567"/>
        <w:jc w:val="both"/>
      </w:pPr>
      <w:r>
        <w:rPr>
          <w:rFonts w:ascii="Arial" w:cs="Arial" w:eastAsia="Arial" w:hAnsi="Arial"/>
          <w:sz w:val="24"/>
          <w:szCs w:val="24"/>
        </w:rPr>
        <w:t xml:space="preserve">- главу 7 признать утратившей силу;</w:t>
      </w:r>
    </w:p>
    <w:p>
      <w:pPr>
        <w:spacing w:after="120"/>
        <w:ind w:firstLine="567"/>
        <w:jc w:val="both"/>
      </w:pPr>
      <w:r>
        <w:rPr>
          <w:rFonts w:ascii="Arial" w:cs="Arial" w:eastAsia="Arial" w:hAnsi="Arial"/>
          <w:sz w:val="24"/>
          <w:szCs w:val="24"/>
        </w:rPr>
        <w:t xml:space="preserve">- пункт 3 главы 11 изложить в следующей редакции:</w:t>
      </w:r>
    </w:p>
    <w:p>
      <w:pPr>
        <w:spacing w:after="120"/>
        <w:jc w:val="both"/>
      </w:pPr>
      <w:r>
        <w:rPr>
          <w:rFonts w:ascii="Arial" w:cs="Arial" w:eastAsia="Arial" w:hAnsi="Arial"/>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23"/>
        <w:gridCol w:w="715"/>
        <w:gridCol w:w="2081"/>
        <w:gridCol w:w="423"/>
        <w:gridCol w:w="927"/>
        <w:gridCol w:w="423"/>
        <w:gridCol w:w="569"/>
        <w:gridCol w:w="423"/>
        <w:gridCol w:w="780"/>
        <w:gridCol w:w="423"/>
        <w:gridCol w:w="423"/>
        <w:gridCol w:w="2569"/>
      </w:tblGrid>
      <w:tr>
        <w:tc>
          <w:tcPr>
            <w:tcW w:type="dxa" w:w="423"/>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715"/>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104</w:t>
            </w:r>
          </w:p>
        </w:tc>
        <w:tc>
          <w:tcPr>
            <w:tcW w:type="dxa" w:w="208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Арендодатель</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927"/>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89,75</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5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780"/>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42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256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 менее 6% СМЗ</w:t>
            </w:r>
          </w:p>
        </w:tc>
      </w:tr>
    </w:tbl>
    <w:p>
      <w:pPr>
        <w:spacing w:after="120" w:before="120"/>
        <w:ind w:firstLine="567"/>
        <w:jc w:val="right"/>
      </w:pPr>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3. Настоящее постановление вступает в силу по истечении пятнадцати дней со дня официального опубликования, за исключением подпунктов 3, 7, 19 пункта 2, которые вступают в силу с 1 января 2026 года.</w:t>
      </w:r>
    </w:p>
    <w:p>
      <w:pPr>
        <w:spacing w:after="120"/>
        <w:ind w:firstLine="567"/>
        <w:jc w:val="both"/>
      </w:pPr>
      <w:r>
        <w:rPr>
          <w:rFonts w:ascii="Arial" w:cs="Arial" w:eastAsia="Arial" w:hAnsi="Arial"/>
          <w:i/>
          <w:iCs/>
          <w:sz w:val="24"/>
          <w:szCs w:val="24"/>
        </w:rPr>
        <w:t xml:space="preserve">Опубликован в газете "Эркин Тоо" от 24 июля 2026 года № 55 (3815)</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Председатель Кабинета Министров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А.Касымалиев</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w:t>
      </w:r>
      <w:r>
        <w:rPr>
          <w:rFonts w:ascii="Arial" w:cs="Arial" w:eastAsia="Arial" w:hAnsi="Arial"/>
          <w:sz w:val="24"/>
          <w:szCs w:val="24"/>
        </w:rPr>
        <w:t xml:space="preserve">Приложение 1</w:t>
      </w:r>
      <w:r>
        <w:rPr>
          <w:rFonts w:ascii="Arial" w:cs="Arial" w:eastAsia="Arial" w:hAnsi="Arial"/>
          <w:sz w:val="24"/>
          <w:szCs w:val="24"/>
        </w:rPr>
        <w:t xml:space="preserve"> </w:t>
      </w:r>
      <w:r>
        <w:rPr>
          <w:rFonts w:ascii="Arial" w:cs="Arial" w:eastAsia="Arial" w:hAnsi="Arial"/>
          <w:sz w:val="24"/>
          <w:szCs w:val="24"/>
        </w:rPr>
        <w:t xml:space="preserve">к Инструкции о порядке начисления и уплаты страховых взносов по государственному социальному страхованию</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Форма</w:t>
      </w:r>
    </w:p>
    <w:p>
      <w:pPr>
        <w:spacing w:after="240" w:before="200"/>
        <w:jc w:val="center"/>
      </w:pPr>
      <w:r>
        <w:rPr>
          <w:rFonts w:ascii="Arial" w:cs="Arial" w:eastAsia="Arial" w:hAnsi="Arial"/>
          <w:b/>
          <w:bCs/>
          <w:sz w:val="32"/>
          <w:szCs w:val="32"/>
        </w:rPr>
        <w:t xml:space="preserve">РАСЧЕТНАЯ ВЕДОМОСТЬ
 по средствам государственного социального страхования</w:t>
      </w:r>
    </w:p>
    <w:p>
      <w:pPr>
        <w:spacing w:after="120"/>
        <w:jc w:val="center"/>
      </w:pPr>
      <w:r>
        <w:rPr>
          <w:rFonts w:ascii="Arial" w:cs="Arial" w:eastAsia="Arial" w:hAnsi="Arial"/>
          <w:sz w:val="20"/>
          <w:szCs w:val="20"/>
        </w:rPr>
        <w:t xml:space="preserve">Отчетный период ____________________________________ 202__ г.</w:t>
      </w:r>
    </w:p>
    <w:p>
      <w:pPr>
        <w:spacing w:after="120"/>
        <w:jc w:val="center"/>
      </w:pPr>
      <w:r>
        <w:rPr>
          <w:rFonts w:ascii="Arial" w:cs="Arial" w:eastAsia="Arial" w:hAnsi="Arial"/>
          <w:sz w:val="20"/>
          <w:szCs w:val="20"/>
        </w:rPr>
        <w:t xml:space="preserve">Дата представления отчета "___" _______________________ 202__ г.</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28"/>
        <w:gridCol w:w="4551"/>
        <w:gridCol w:w="522"/>
        <w:gridCol w:w="4404"/>
        <w:gridCol w:w="473"/>
      </w:tblGrid>
      <w:tr>
        <w:tc>
          <w:tcPr>
            <w:tcW w:type="dxa" w:w="2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4551"/>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Наименование плательщика</w:t>
            </w:r>
          </w:p>
        </w:tc>
        <w:tc>
          <w:tcPr>
            <w:tcW w:type="dxa" w:w="52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Территориальное подразделение уполномоченного государственного органа</w:t>
            </w:r>
          </w:p>
        </w:tc>
        <w:tc>
          <w:tcPr>
            <w:tcW w:type="dxa" w:w="473"/>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ИНН</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Юридический адрес</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Регистрационный номер плательщика в Социальном фонде Кыргызской Республики</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Телефон</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Код ОКПО</w:t>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Банк (наименование)</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Расчетный счет</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45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52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40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Вид деятельности</w:t>
            </w:r>
          </w:p>
        </w:tc>
        <w:tc>
          <w:tcPr>
            <w:tcW w:type="dxa" w:w="47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ind w:firstLine="567"/>
        <w:jc w:val="both"/>
      </w:pPr>
      <w:r>
        <w:rPr>
          <w:rFonts w:ascii="Arial" w:cs="Arial" w:eastAsia="Arial" w:hAnsi="Arial"/>
          <w:b/>
          <w:bCs/>
          <w:sz w:val="20"/>
          <w:szCs w:val="20"/>
        </w:rPr>
        <w:t xml:space="preserve">Сообщение о занятости и заработной плате</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12"/>
        <w:gridCol w:w="1221"/>
        <w:gridCol w:w="342"/>
        <w:gridCol w:w="831"/>
        <w:gridCol w:w="489"/>
        <w:gridCol w:w="651"/>
        <w:gridCol w:w="717"/>
        <w:gridCol w:w="782"/>
        <w:gridCol w:w="684"/>
        <w:gridCol w:w="684"/>
        <w:gridCol w:w="814"/>
        <w:gridCol w:w="814"/>
        <w:gridCol w:w="700"/>
        <w:gridCol w:w="456"/>
        <w:gridCol w:w="782"/>
      </w:tblGrid>
      <w:tr>
        <w:tc>
          <w:tcPr>
            <w:tcW w:type="dxa" w:w="212"/>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0"/>
                <w:szCs w:val="20"/>
              </w:rPr>
              <w:t xml:space="preserve">№</w:t>
            </w:r>
          </w:p>
        </w:tc>
        <w:tc>
          <w:tcPr>
            <w:tcW w:type="dxa" w:w="122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Идентификационный номер</w:t>
            </w:r>
          </w:p>
        </w:tc>
        <w:tc>
          <w:tcPr>
            <w:tcW w:type="dxa" w:w="34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ФИО</w:t>
            </w:r>
          </w:p>
        </w:tc>
        <w:tc>
          <w:tcPr>
            <w:tcW w:type="dxa" w:w="83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Коэффициент высокогорья и отдаленных районов</w:t>
            </w:r>
          </w:p>
        </w:tc>
        <w:tc>
          <w:tcPr>
            <w:tcW w:type="dxa" w:w="489"/>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начала работы</w:t>
            </w:r>
          </w:p>
        </w:tc>
        <w:tc>
          <w:tcPr>
            <w:tcW w:type="dxa" w:w="651"/>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Дата окончания работы</w:t>
            </w:r>
          </w:p>
        </w:tc>
        <w:tc>
          <w:tcPr>
            <w:tcW w:type="dxa" w:w="717"/>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w:t>
            </w:r>
          </w:p>
        </w:tc>
        <w:tc>
          <w:tcPr>
            <w:tcW w:type="dxa" w:w="7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Количество дней (фактически)</w:t>
            </w:r>
          </w:p>
        </w:tc>
        <w:tc>
          <w:tcPr>
            <w:tcW w:type="dxa" w:w="1368"/>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Доход, на который начислены страховые взносы</w:t>
            </w:r>
          </w:p>
        </w:tc>
        <w:tc>
          <w:tcPr>
            <w:tcW w:type="dxa" w:w="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страховые взносы (сом)</w:t>
            </w:r>
          </w:p>
        </w:tc>
        <w:tc>
          <w:tcPr>
            <w:tcW w:type="dxa" w:w="814"/>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Начисленные взносы по НПФ (сом)</w:t>
            </w:r>
          </w:p>
        </w:tc>
        <w:tc>
          <w:tcPr>
            <w:tcW w:type="dxa" w:w="700"/>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Категории работников</w:t>
            </w:r>
          </w:p>
        </w:tc>
        <w:tc>
          <w:tcPr>
            <w:tcW w:type="dxa" w:w="45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Код списка № 1 или № 2</w:t>
            </w:r>
          </w:p>
        </w:tc>
        <w:tc>
          <w:tcPr>
            <w:tcW w:type="dxa" w:w="782"/>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Гражданство</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ФОТ</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0"/>
                <w:szCs w:val="20"/>
              </w:rPr>
              <w:t xml:space="preserve">Дополнительный ФОТ</w:t>
            </w: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4</w:t>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5</w:t>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6</w:t>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7</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8</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9</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10</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11</w:t>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12</w:t>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13</w:t>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14</w:t>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15</w:t>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1</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2</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3</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0"/>
                <w:szCs w:val="20"/>
              </w:rPr>
              <w:t xml:space="preserve">n</w:t>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1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0"/>
                <w:szCs w:val="20"/>
              </w:rPr>
              <w:t xml:space="preserve">Итого:</w:t>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81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7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120" w:before="120"/>
        <w:ind w:firstLine="567"/>
        <w:jc w:val="both"/>
      </w:pPr>
      <w:r>
        <w:rPr>
          <w:rFonts w:ascii="Arial" w:cs="Arial" w:eastAsia="Arial" w:hAnsi="Arial"/>
          <w:sz w:val="20"/>
          <w:szCs w:val="20"/>
        </w:rPr>
        <w:t xml:space="preserve">Примечание:</w:t>
      </w:r>
    </w:p>
    <w:p>
      <w:pPr>
        <w:spacing w:after="120"/>
        <w:ind w:firstLine="567"/>
        <w:jc w:val="both"/>
      </w:pPr>
      <w:r>
        <w:rPr>
          <w:rFonts w:ascii="Arial" w:cs="Arial" w:eastAsia="Arial" w:hAnsi="Arial"/>
          <w:sz w:val="20"/>
          <w:szCs w:val="20"/>
        </w:rPr>
        <w:t xml:space="preserve">1) категория работников:</w:t>
      </w:r>
    </w:p>
    <w:p>
      <w:pPr>
        <w:spacing w:after="120"/>
        <w:ind w:firstLine="567"/>
        <w:jc w:val="both"/>
      </w:pPr>
      <w:r>
        <w:rPr>
          <w:rFonts w:ascii="Arial" w:cs="Arial" w:eastAsia="Arial" w:hAnsi="Arial"/>
          <w:sz w:val="20"/>
          <w:szCs w:val="20"/>
        </w:rPr>
        <w:t xml:space="preserve">001 - основной работник;</w:t>
      </w:r>
    </w:p>
    <w:p>
      <w:pPr>
        <w:spacing w:after="120"/>
        <w:ind w:firstLine="567"/>
        <w:jc w:val="both"/>
      </w:pPr>
      <w:r>
        <w:rPr>
          <w:rFonts w:ascii="Arial" w:cs="Arial" w:eastAsia="Arial" w:hAnsi="Arial"/>
          <w:sz w:val="20"/>
          <w:szCs w:val="20"/>
        </w:rPr>
        <w:t xml:space="preserve">100 - инвалид I-II группы;</w:t>
      </w:r>
    </w:p>
    <w:p>
      <w:pPr>
        <w:spacing w:after="120"/>
        <w:ind w:firstLine="567"/>
        <w:jc w:val="both"/>
      </w:pPr>
      <w:r>
        <w:rPr>
          <w:rFonts w:ascii="Arial" w:cs="Arial" w:eastAsia="Arial" w:hAnsi="Arial"/>
          <w:sz w:val="20"/>
          <w:szCs w:val="20"/>
        </w:rPr>
        <w:t xml:space="preserve">009 - инвалид III группы по слуху;</w:t>
      </w:r>
    </w:p>
    <w:p>
      <w:pPr>
        <w:spacing w:after="120"/>
        <w:ind w:firstLine="567"/>
        <w:jc w:val="both"/>
      </w:pPr>
      <w:r>
        <w:rPr>
          <w:rFonts w:ascii="Arial" w:cs="Arial" w:eastAsia="Arial" w:hAnsi="Arial"/>
          <w:sz w:val="20"/>
          <w:szCs w:val="20"/>
        </w:rPr>
        <w:t xml:space="preserve">010 - иностранный гражданин (страна);</w:t>
      </w:r>
    </w:p>
    <w:p>
      <w:pPr>
        <w:spacing w:after="120"/>
        <w:ind w:firstLine="567"/>
        <w:jc w:val="both"/>
      </w:pPr>
      <w:r>
        <w:rPr>
          <w:rFonts w:ascii="Arial" w:cs="Arial" w:eastAsia="Arial" w:hAnsi="Arial"/>
          <w:sz w:val="20"/>
          <w:szCs w:val="20"/>
        </w:rPr>
        <w:t xml:space="preserve">101 - участник ВОВ;</w:t>
      </w:r>
    </w:p>
    <w:p>
      <w:pPr>
        <w:spacing w:after="120"/>
        <w:ind w:firstLine="567"/>
        <w:jc w:val="both"/>
      </w:pPr>
      <w:r>
        <w:rPr>
          <w:rFonts w:ascii="Arial" w:cs="Arial" w:eastAsia="Arial" w:hAnsi="Arial"/>
          <w:sz w:val="20"/>
          <w:szCs w:val="20"/>
        </w:rPr>
        <w:t xml:space="preserve">102 - инвалид ВОВ и лицо, приравненное к нему;</w:t>
      </w:r>
    </w:p>
    <w:p>
      <w:pPr>
        <w:spacing w:after="120"/>
        <w:ind w:firstLine="567"/>
        <w:jc w:val="both"/>
      </w:pPr>
      <w:r>
        <w:rPr>
          <w:rFonts w:ascii="Arial" w:cs="Arial" w:eastAsia="Arial" w:hAnsi="Arial"/>
          <w:sz w:val="20"/>
          <w:szCs w:val="20"/>
        </w:rPr>
        <w:t xml:space="preserve">003 - пенсионер;</w:t>
      </w:r>
    </w:p>
    <w:p>
      <w:pPr>
        <w:spacing w:after="120"/>
        <w:ind w:firstLine="567"/>
        <w:jc w:val="both"/>
      </w:pPr>
      <w:r>
        <w:rPr>
          <w:rFonts w:ascii="Arial" w:cs="Arial" w:eastAsia="Arial" w:hAnsi="Arial"/>
          <w:sz w:val="20"/>
          <w:szCs w:val="20"/>
        </w:rPr>
        <w:t xml:space="preserve">103 - индивидуальный предприниматель;</w:t>
      </w:r>
    </w:p>
    <w:p>
      <w:pPr>
        <w:spacing w:after="120"/>
        <w:ind w:firstLine="567"/>
        <w:jc w:val="both"/>
      </w:pPr>
      <w:r>
        <w:rPr>
          <w:rFonts w:ascii="Arial" w:cs="Arial" w:eastAsia="Arial" w:hAnsi="Arial"/>
          <w:sz w:val="20"/>
          <w:szCs w:val="20"/>
        </w:rPr>
        <w:t xml:space="preserve">104 - арендодатель;</w:t>
      </w:r>
    </w:p>
    <w:p>
      <w:pPr>
        <w:spacing w:after="120"/>
        <w:ind w:firstLine="567"/>
        <w:jc w:val="both"/>
      </w:pPr>
      <w:r>
        <w:rPr>
          <w:rFonts w:ascii="Arial" w:cs="Arial" w:eastAsia="Arial" w:hAnsi="Arial"/>
          <w:sz w:val="20"/>
          <w:szCs w:val="20"/>
        </w:rPr>
        <w:t xml:space="preserve">105 - гонорары, вознаграждения;</w:t>
      </w:r>
    </w:p>
    <w:p>
      <w:pPr>
        <w:spacing w:after="120"/>
        <w:ind w:firstLine="567"/>
        <w:jc w:val="both"/>
      </w:pPr>
      <w:r>
        <w:rPr>
          <w:rFonts w:ascii="Arial" w:cs="Arial" w:eastAsia="Arial" w:hAnsi="Arial"/>
          <w:sz w:val="20"/>
          <w:szCs w:val="20"/>
        </w:rPr>
        <w:t xml:space="preserve">106 - младший обслуживающий персонал;</w:t>
      </w:r>
    </w:p>
    <w:p>
      <w:pPr>
        <w:spacing w:after="120"/>
        <w:ind w:firstLine="567"/>
        <w:jc w:val="both"/>
      </w:pPr>
      <w:r>
        <w:rPr>
          <w:rFonts w:ascii="Arial" w:cs="Arial" w:eastAsia="Arial" w:hAnsi="Arial"/>
          <w:sz w:val="20"/>
          <w:szCs w:val="20"/>
        </w:rPr>
        <w:t xml:space="preserve">107 - пенсионеры младшего обслуживающего персонала;</w:t>
      </w:r>
    </w:p>
    <w:p>
      <w:pPr>
        <w:spacing w:after="120"/>
        <w:ind w:firstLine="567"/>
        <w:jc w:val="both"/>
      </w:pPr>
      <w:r>
        <w:rPr>
          <w:rFonts w:ascii="Arial" w:cs="Arial" w:eastAsia="Arial" w:hAnsi="Arial"/>
          <w:sz w:val="20"/>
          <w:szCs w:val="20"/>
        </w:rPr>
        <w:t xml:space="preserve">018 - МОП инвалид I-II группы;</w:t>
      </w:r>
    </w:p>
    <w:p>
      <w:pPr>
        <w:spacing w:after="120"/>
        <w:ind w:firstLine="567"/>
        <w:jc w:val="both"/>
      </w:pPr>
      <w:r>
        <w:rPr>
          <w:rFonts w:ascii="Arial" w:cs="Arial" w:eastAsia="Arial" w:hAnsi="Arial"/>
          <w:sz w:val="20"/>
          <w:szCs w:val="20"/>
        </w:rPr>
        <w:t xml:space="preserve">019 - МОП инвалид III группы по слуху;</w:t>
      </w:r>
    </w:p>
    <w:p>
      <w:pPr>
        <w:spacing w:after="120"/>
        <w:ind w:firstLine="567"/>
        <w:jc w:val="both"/>
      </w:pPr>
      <w:r>
        <w:rPr>
          <w:rFonts w:ascii="Arial" w:cs="Arial" w:eastAsia="Arial" w:hAnsi="Arial"/>
          <w:sz w:val="20"/>
          <w:szCs w:val="20"/>
        </w:rPr>
        <w:t xml:space="preserve">021 - МОП инвалид ВОВ и лицо, приравненное к нему;</w:t>
      </w:r>
    </w:p>
    <w:p>
      <w:pPr>
        <w:spacing w:after="120"/>
        <w:ind w:firstLine="567"/>
        <w:jc w:val="both"/>
      </w:pPr>
      <w:r>
        <w:rPr>
          <w:rFonts w:ascii="Arial" w:cs="Arial" w:eastAsia="Arial" w:hAnsi="Arial"/>
          <w:sz w:val="20"/>
          <w:szCs w:val="20"/>
        </w:rPr>
        <w:t xml:space="preserve">204 - работник сервиса доставки;</w:t>
      </w:r>
    </w:p>
    <w:p>
      <w:pPr>
        <w:spacing w:after="120"/>
        <w:ind w:firstLine="567"/>
        <w:jc w:val="both"/>
      </w:pPr>
      <w:r>
        <w:rPr>
          <w:rFonts w:ascii="Arial" w:cs="Arial" w:eastAsia="Arial" w:hAnsi="Arial"/>
          <w:sz w:val="20"/>
          <w:szCs w:val="20"/>
        </w:rPr>
        <w:t xml:space="preserve">205 - пенсионер товарищества собственников жилья;</w:t>
      </w:r>
    </w:p>
    <w:p>
      <w:pPr>
        <w:spacing w:after="120"/>
        <w:ind w:firstLine="567"/>
        <w:jc w:val="both"/>
      </w:pPr>
      <w:r>
        <w:rPr>
          <w:rFonts w:ascii="Arial" w:cs="Arial" w:eastAsia="Arial" w:hAnsi="Arial"/>
          <w:sz w:val="20"/>
          <w:szCs w:val="20"/>
        </w:rPr>
        <w:t xml:space="preserve">206 - МОП пенсионер товарищества собственников жилья;</w:t>
      </w:r>
    </w:p>
    <w:p>
      <w:pPr>
        <w:spacing w:after="120"/>
        <w:ind w:firstLine="567"/>
        <w:jc w:val="both"/>
      </w:pPr>
      <w:r>
        <w:rPr>
          <w:rFonts w:ascii="Arial" w:cs="Arial" w:eastAsia="Arial" w:hAnsi="Arial"/>
          <w:sz w:val="20"/>
          <w:szCs w:val="20"/>
        </w:rPr>
        <w:t xml:space="preserve">020 - трудовые мигранты;</w:t>
      </w:r>
    </w:p>
    <w:p>
      <w:pPr>
        <w:spacing w:after="120"/>
        <w:ind w:firstLine="567"/>
        <w:jc w:val="both"/>
      </w:pPr>
      <w:r>
        <w:rPr>
          <w:rFonts w:ascii="Arial" w:cs="Arial" w:eastAsia="Arial" w:hAnsi="Arial"/>
          <w:sz w:val="20"/>
          <w:szCs w:val="20"/>
        </w:rPr>
        <w:t xml:space="preserve">2) коды списков:</w:t>
      </w:r>
    </w:p>
    <w:p>
      <w:pPr>
        <w:spacing w:after="120"/>
        <w:ind w:firstLine="567"/>
        <w:jc w:val="both"/>
      </w:pPr>
      <w:r>
        <w:rPr>
          <w:rFonts w:ascii="Arial" w:cs="Arial" w:eastAsia="Arial" w:hAnsi="Arial"/>
          <w:sz w:val="20"/>
          <w:szCs w:val="20"/>
        </w:rPr>
        <w:t xml:space="preserve">007 - Список № 1;</w:t>
      </w:r>
    </w:p>
    <w:p>
      <w:pPr>
        <w:spacing w:after="120"/>
        <w:ind w:firstLine="567"/>
        <w:jc w:val="both"/>
      </w:pPr>
      <w:r>
        <w:rPr>
          <w:rFonts w:ascii="Arial" w:cs="Arial" w:eastAsia="Arial" w:hAnsi="Arial"/>
          <w:sz w:val="20"/>
          <w:szCs w:val="20"/>
        </w:rPr>
        <w:t xml:space="preserve">006 - Список № 2.</w:t>
      </w:r>
    </w:p>
    <w:p>
      <w:pPr>
        <w:spacing w:after="120"/>
        <w:ind w:firstLine="567"/>
        <w:jc w:val="both"/>
      </w:pPr>
      <w:r>
        <w:rPr>
          <w:rFonts w:ascii="Arial" w:cs="Arial" w:eastAsia="Arial" w:hAnsi="Arial"/>
          <w:sz w:val="20"/>
          <w:szCs w:val="20"/>
        </w:rPr>
        <w:t xml:space="preserve">Если работник не относится к списку № 1 или № 2, код не указывается;</w:t>
      </w:r>
    </w:p>
    <w:p>
      <w:pPr>
        <w:spacing w:after="120"/>
        <w:ind w:firstLine="567"/>
        <w:jc w:val="both"/>
      </w:pPr>
      <w:r>
        <w:rPr>
          <w:rFonts w:ascii="Arial" w:cs="Arial" w:eastAsia="Arial" w:hAnsi="Arial"/>
          <w:sz w:val="20"/>
          <w:szCs w:val="20"/>
        </w:rPr>
        <w:t xml:space="preserve">3) коды высокогорья и отдаленных районов:</w:t>
      </w:r>
    </w:p>
    <w:p>
      <w:pPr>
        <w:spacing w:after="120"/>
        <w:ind w:firstLine="567"/>
        <w:jc w:val="both"/>
      </w:pPr>
      <w:r>
        <w:rPr>
          <w:rFonts w:ascii="Arial" w:cs="Arial" w:eastAsia="Arial" w:hAnsi="Arial"/>
          <w:sz w:val="20"/>
          <w:szCs w:val="20"/>
        </w:rPr>
        <w:t xml:space="preserve">500 - высокогорье;</w:t>
      </w:r>
    </w:p>
    <w:p>
      <w:pPr>
        <w:spacing w:after="120"/>
        <w:ind w:firstLine="567"/>
        <w:jc w:val="both"/>
      </w:pPr>
      <w:r>
        <w:rPr>
          <w:rFonts w:ascii="Arial" w:cs="Arial" w:eastAsia="Arial" w:hAnsi="Arial"/>
          <w:sz w:val="20"/>
          <w:szCs w:val="20"/>
        </w:rPr>
        <w:t xml:space="preserve">501 - отдаленные районы.".</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kur-qdqwyj8dmeb4-mf3">
      <w:r>
        <w:rPr>
          <w:rFonts w:ascii="Arial" w:cs="Arial" w:eastAsia="Arial" w:hAnsi="Arial"/>
          <w:color w:val="132D3F"/>
          <w:sz w:val="16"/>
          <w:szCs w:val="16"/>
          <w:u w:val="single"/>
        </w:rPr>
        <w:t xml:space="preserve">dalil.kg/document/230049422</w:t>
      </w:r>
    </w:hyperlink>
  </w:p>
  <w:p>
    <w:pPr>
      <w:spacing w:after="0" w:before="40"/>
      <w:jc w:val="center"/>
    </w:pPr>
    <w:hyperlink w:history="1" r:id="rIdsd-thfgodeovc4pfp0ad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wpwuzm2pim4rgvo2jnzi" Type="http://schemas.openxmlformats.org/officeDocument/2006/relationships/hyperlink" Target="https://dalil.kg/document/1393#st_2_1" TargetMode="External"/><Relationship Id="rIdfwgkyt9jnytzmgb6n8xte" Type="http://schemas.openxmlformats.org/officeDocument/2006/relationships/hyperlink" Target="https://dalil.kg/document/1393#st_6" TargetMode="External"/><Relationship Id="rIdqpkvuegumj52pdqgwc2wv" Type="http://schemas.openxmlformats.org/officeDocument/2006/relationships/hyperlink" Target="https://dalil.kg/document/1393#st_7" TargetMode="External"/><Relationship Id="rIdytl6t77ge-aukxxb_90jj" Type="http://schemas.openxmlformats.org/officeDocument/2006/relationships/hyperlink" Target="https://dalil.kg/document/1393#st_9" TargetMode="External"/><Relationship Id="rIdn5tttsoxhrquk7dmxcppc" Type="http://schemas.openxmlformats.org/officeDocument/2006/relationships/hyperlink" Target="https://dalil.kg/document/112301#st_13" TargetMode="External"/><Relationship Id="rId_mudziod9p__h6yp_uybg" Type="http://schemas.openxmlformats.org/officeDocument/2006/relationships/hyperlink" Target="https://dalil.kg/document/112301#st_17" TargetMode="External"/><Relationship Id="rIdpsntla74miptl43pkyael" Type="http://schemas.openxmlformats.org/officeDocument/2006/relationships/hyperlink" Target="https://dalil.kg/document/230012344" TargetMode="External"/><Relationship Id="rIdizu0p1clf6wdrfukwj9wc" Type="http://schemas.openxmlformats.org/officeDocument/2006/relationships/hyperlink" Target="https://dalil.kg/document/230012344" TargetMode="External"/><Relationship Id="rIdutqc3chmjrkzqb_wgkmea" Type="http://schemas.openxmlformats.org/officeDocument/2006/relationships/hyperlink" Target="https://dalil.kg/document/1393#st_10" TargetMode="External"/><Relationship Id="rIdvszfz6hwvtzdmuwqo7k9o" Type="http://schemas.openxmlformats.org/officeDocument/2006/relationships/hyperlink" Target="https://dalil.kg/document/230018763" TargetMode="External"/><Relationship Id="rIdvmxapgv2ygaod2lc_kytd" Type="http://schemas.openxmlformats.org/officeDocument/2006/relationships/hyperlink" Target="https://dalil.kg/document/230018763" TargetMode="External"/><Relationship Id="rIdkyv68ix-osc3rccrdyzcg" Type="http://schemas.openxmlformats.org/officeDocument/2006/relationships/hyperlink" Target="https://dalil.kg/document/1393#st_2" TargetMode="External"/><Relationship Id="rId4wokxdsisxzngr-xs4mf2" Type="http://schemas.openxmlformats.org/officeDocument/2006/relationships/hyperlink" Target="https://dalil.kg/document/1393#st_2_2" TargetMode="External"/><Relationship Id="rIdeiguvmzn-am9gyh5pfjnv" Type="http://schemas.openxmlformats.org/officeDocument/2006/relationships/hyperlink" Target="https://dalil.kg/document/1393#st_7" TargetMode="External"/><Relationship Id="rIdkfrf_dj9cr2srhwj376to" Type="http://schemas.openxmlformats.org/officeDocument/2006/relationships/hyperlink" Target="https://dalil.kg/document/230049422#pr1" TargetMode="External"/><Relationship Id="rId8" Type="http://schemas.openxmlformats.org/officeDocument/2006/relationships/image" Target="media/8de64316e95979c063c17bcd5380dc052a2594e9.png"/><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kur-qdqwyj8dmeb4-mf3" Type="http://schemas.openxmlformats.org/officeDocument/2006/relationships/hyperlink" Target="https://dalil.kg/document/230049422" TargetMode="External"/><Relationship Id="rIdsd-thfgodeovc4pfp0ad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2026-09-24T21:57:08.890Z</dcterms:created>
  <dcterms:modified xsi:type="dcterms:W3CDTF">2026-09-24T21:57:08.890Z</dcterms:modified>
</cp:coreProperties>
</file>

<file path=docProps/custom.xml><?xml version="1.0" encoding="utf-8"?>
<Properties xmlns="http://schemas.openxmlformats.org/officeDocument/2006/custom-properties" xmlns:vt="http://schemas.openxmlformats.org/officeDocument/2006/docPropsVTypes"/>
</file>