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специального представителя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Должность специального представителя (далее – специальный представитель) Центральной комиссии по выборам и проведению референдумов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) в каждой территориальной избирательной комиссии учреждается в соответствии с частью 3 </w:t>
      </w:r>
      <w:hyperlink w:history="1" r:id="rIdb6k6kdbpczrumt6zf_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в целях координации, организационно-методического и материально-технического обеспечения деятельности соответствующей окружной, территориальной и участковой избирательных комиссий, а также ведения, обновления и уточнения списка избирателей, участников референдума.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Специальный представитель является государственным гражданским служащим, назначается в соответствующие территориальные избирательные комиссии и освобождается от должности председателем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подготовки и проведения выборов депутатов Жогорку Кенеша Кыргызской Республики в соответствующую окружную избирательную комиссию решением председателя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закрепляется один специальный представитель из числа ранее назначенных в территориальные избирательные комиссии, функционирующие в соответствующих избирательных округах.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</w:t>
      </w:r>
      <w:r>
        <w:rPr>
          <w:rFonts w:ascii="Arial" w:cs="Arial" w:eastAsia="Arial" w:hAnsi="Arial"/>
          <w:sz w:val="24"/>
          <w:szCs w:val="24"/>
        </w:rPr>
        <w:t xml:space="preserve">На должность специального представителя назначается гражданин Кыргызской Республики не моложе 21 года, имеющий высшее образование и стаж государственной и/или муниципальной службы по совокупности не менее 3 лет либо стаж работы в соответствующей профессиональной сфере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в своей деятельности руководствуется </w:t>
      </w:r>
      <w:hyperlink w:history="1" r:id="rIda4kmqcpvlds2ic9qwoy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4tdhlzoqy1cofvvfd5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ulwdltvnx3xln1ga8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r>
        <w:rPr>
          <w:rFonts w:ascii="Arial" w:cs="Arial" w:eastAsia="Arial" w:hAnsi="Arial"/>
          <w:sz w:val="24"/>
          <w:szCs w:val="24"/>
        </w:rPr>
        <w:t xml:space="preserve">Цифровым </w:t>
      </w:r>
      <w:hyperlink w:history="1" r:id="rIdiqhkue8hftkx29c0v2j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законами Кыргызской Республики «</w:t>
      </w:r>
      <w:hyperlink w:history="1" r:id="rIdunnrikogmojblzfpci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kpxrmaiqbzfhihoe-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hrizxnqm1at06wsi0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jfgvnemdnhwdxr7bu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zzr6-so8ptxlbolucb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xmddoqjyp5jlt4toz8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Специальный представитель в своей деятельности подотчетен председателю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заместителям председателя, руководителю аппарата и начальнику управления организации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специального представителя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системного администратора по ведению, обновлению и уточнению списка избирателей, участников референдума;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формировании и доукомплектовании территориальной и участковой избирательных комиссий, а также обновление их составов и резервов;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о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соответствующей окружной, территориальной и участковой избирательных комиссий с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государственными органами, органами местного самоуправления, общественными организациями, политическими партиями и иными юридическими и физическими лицами на соответствующей территории по вопросам выборов и референдумов;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совершенствованию законодательства Кыргызской Республики о выборах и референдумах;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приема и оформления актов приема-передачи, контроль за своевременной доставкой избирательных документов в избирательные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координация обучения членов окружных, территориальных и участковых избирательных комиссий, а также лиц, привлекаемых к подготовке и проведению выборов и референдумов;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организации и проведении мероприятий по информированию избирателей и повышению правовой культуры участников избирательного процесса;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мониторинга избирательных участков на готовность к проведению голосования;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обеспечению единообразного применения законодательства Кыргызской Республики о выборах и референдумах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рассмотрении обращений, заявлений и жалоб, поступающих в соответствующие избирательные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координация мероприятий по обеспечению сохранности избирательной документации и материально-технических средств, находящихся в распоряжении соответствующих избирательных комиссий;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исполнением решений и поручений ЦИК соответствующими окружными, территориальными и участковыми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выполнении своих полномочий специальный представитель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Конституцию и законодательство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информацию о деятельности соответствующей окружной, территориальной и участковой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установленные сроки представлять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отчет о своей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государственную, служебную и иную охраняемую законом тайну;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поручения руководства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не противоречащие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по предотвращению конфликта интересов и соблюдению законодательства о противодействии коррупции;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повышать квалификацию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действий и высказываний, которые могут быть расценены как поддержка или предпочтение отдельных кандидатов, политических партий либо иных участников избирательного процесса;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незамедлительно информировать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о выявленных нарушениях законодательства о выборах и референдумах, а также обстоятельствах, способных повлиять на подготовку и проведение выборов и референдумов.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Специальный представитель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координировать деятельность соответствующих окружных, территориальных и участковых избирательных комиссий в пределах своей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получать от окружных, территориальных и участковых избирательных комиссий, государственных органов, органов местного самоуправления и иных организаций информацию, документы и материалы, необходимые для исполнения возложенных обязанностей, в пределах своей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заседаниях окружных, территориальных и участковых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</w:t>
      </w:r>
      <w:r>
        <w:rPr>
          <w:rFonts w:ascii="Arial" w:cs="Arial" w:eastAsia="Arial" w:hAnsi="Arial"/>
          <w:sz w:val="24"/>
          <w:szCs w:val="24"/>
        </w:rPr>
        <w:t xml:space="preserve">Центральную избирательную комиссию</w:t>
      </w:r>
      <w:r>
        <w:rPr>
          <w:rFonts w:ascii="Arial" w:cs="Arial" w:eastAsia="Arial" w:hAnsi="Arial"/>
          <w:sz w:val="24"/>
          <w:szCs w:val="24"/>
        </w:rPr>
        <w:t xml:space="preserve"> предложения по вопросам организации деятельности избирательных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обращаться в государственные органы и органы местного самоуправления по вопросам, связанным с исполнением возложенных обязанностей;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доступ к государственным информационным системам и информационным ресурсам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деятельности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Обеспечение деятельности специального представителя осуществляется за счет средств республиканского бюджета, предусмотренных на содержание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, в порядке, установленном 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Специальному представителю возмещаются командировочные и иные расходы, связанные с исполнением должностных обязанностей, в порядке и размерах,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k6kdbpczrumt6zf_rvt" Type="http://schemas.openxmlformats.org/officeDocument/2006/relationships/hyperlink" Target="http://kodeks.duckdns.org/document/112260#st_12" TargetMode="External"/><Relationship Id="rIda4kmqcpvlds2ic9qwoymi" Type="http://schemas.openxmlformats.org/officeDocument/2006/relationships/hyperlink" Target="http://kodeks.duckdns.org/document/112213" TargetMode="External"/><Relationship Id="rIdh4tdhlzoqy1cofvvfd5ot" Type="http://schemas.openxmlformats.org/officeDocument/2006/relationships/hyperlink" Target="http://kodeks.duckdns.org/document/230048316" TargetMode="External"/><Relationship Id="rIdtulwdltvnx3xln1ga8jii" Type="http://schemas.openxmlformats.org/officeDocument/2006/relationships/hyperlink" Target="http://kodeks.duckdns.org/document/112260" TargetMode="External"/><Relationship Id="rIdiqhkue8hftkx29c0v2j3r" Type="http://schemas.openxmlformats.org/officeDocument/2006/relationships/hyperlink" Target="http://kodeks.duckdns.org/document/230029914" TargetMode="External"/><Relationship Id="rIdunnrikogmojblzfpcirt1" Type="http://schemas.openxmlformats.org/officeDocument/2006/relationships/hyperlink" Target="http://kodeks.duckdns.org/document/203100" TargetMode="External"/><Relationship Id="rId2kpxrmaiqbzfhihoe-m9h" Type="http://schemas.openxmlformats.org/officeDocument/2006/relationships/hyperlink" Target="http://kodeks.duckdns.org/document/203103" TargetMode="External"/><Relationship Id="rIdfhrizxnqm1at06wsi0rxq" Type="http://schemas.openxmlformats.org/officeDocument/2006/relationships/hyperlink" Target="http://kodeks.duckdns.org/document/112303" TargetMode="External"/><Relationship Id="rIdcjfgvnemdnhwdxr7buuwe" Type="http://schemas.openxmlformats.org/officeDocument/2006/relationships/hyperlink" Target="http://kodeks.duckdns.org/document/112302" TargetMode="External"/><Relationship Id="rIdwzzr6-so8ptxlbolucbj6" Type="http://schemas.openxmlformats.org/officeDocument/2006/relationships/hyperlink" Target="http://kodeks.duckdns.org/document/202483" TargetMode="External"/><Relationship Id="rIdxxmddoqjyp5jlt4toz8ls" Type="http://schemas.openxmlformats.org/officeDocument/2006/relationships/hyperlink" Target="http://kodeks.duckdns.org/document/31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2026-09-23T08:54:38.870Z</dcterms:created>
  <dcterms:modified xsi:type="dcterms:W3CDTF">2026-09-23T08:54:38.870Z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