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мерах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требований статей 99, 100, 120, 125, 302 и 324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Налогового кодекса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kob1d3slntp-8_cgrf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предпринимательства», в соответствии со статьями </w:t>
      </w:r>
      <w:hyperlink w:history="1" r:id="rIdqzhg4mingd-rtrgy6z0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2hl0mzg7emrng1bc3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k3vk0opwqqfntfzh8w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22 февраля 2022 года № 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a_jdhl2mhwtgiuevcp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условного начисления налога на добавленную стоимость на импорт товаров, </w:t>
      </w:r>
      <w:r>
        <w:rPr>
          <w:rFonts w:ascii="Arial" w:cs="Arial" w:eastAsia="Arial" w:hAnsi="Arial"/>
          <w:sz w:val="24"/>
          <w:szCs w:val="24"/>
        </w:rPr>
        <w:t xml:space="preserve">утвержденном</w:t>
      </w:r>
      <w:r>
        <w:rPr>
          <w:rFonts w:ascii="Arial" w:cs="Arial" w:eastAsia="Arial" w:hAnsi="Arial"/>
          <w:sz w:val="24"/>
          <w:szCs w:val="24"/>
        </w:rPr>
        <w:t xml:space="preserve"> вышеуказанным </w:t>
      </w:r>
      <w:hyperlink w:history="1" r:id="rIdv7w9dxfxa4lepi0hzyq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после слов «</w:t>
      </w:r>
      <w:r>
        <w:rPr>
          <w:rFonts w:ascii="Arial" w:cs="Arial" w:eastAsia="Arial" w:hAnsi="Arial"/>
          <w:sz w:val="24"/>
          <w:szCs w:val="24"/>
        </w:rPr>
        <w:t xml:space="preserve">статьей 324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«и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430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11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«11) субъекты, осуществляющие поставки теплоэнергии, электроэнергии, газа и автомобильных транспортных средств.»;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Налогоплательщик, применяющий режим, установленный </w:t>
      </w:r>
      <w:r>
        <w:rPr>
          <w:rFonts w:ascii="Arial" w:cs="Arial" w:eastAsia="Arial" w:hAnsi="Arial"/>
          <w:sz w:val="24"/>
          <w:szCs w:val="24"/>
        </w:rPr>
        <w:t xml:space="preserve">статьей 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осуществляет деятельность только по импорту и экспорту товаров в соответствии с данным режимом, за исключением приобретения на территории Кыргызской Республики и/или импорта основных средств, товаров и нематериальных активов непосредственно для собственного использования, с уплатой НДС на импорт в бюджет с учетом льгот и освобождений в соответствии с Налоговым </w:t>
      </w:r>
      <w:hyperlink w:history="1" r:id="rIdfoocpwtzuh_rogz32g0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</w:t>
      </w:r>
      <w:r>
        <w:rPr>
          <w:rFonts w:ascii="Arial" w:cs="Arial" w:eastAsia="Arial" w:hAnsi="Arial"/>
          <w:sz w:val="24"/>
          <w:szCs w:val="24"/>
        </w:rPr>
        <w:t xml:space="preserve">статьей 324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«и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430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экспорте товаров, импортированных в соответствии с данным режимом, указывать код ТН ВЭД на уровне десятизначного обозначения и единицы измерения без изменений и/или в эквиваленте данной единицы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подпункта под эквивалентной единицей измерения понимается: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грамм (г) – килограмм (кг) – тонна (т);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миллилитр (мл) – литр (л);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сантиметр (см) – погонный метр (пм) – метр (м) – километр (км);»;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не отчуждать активы, приобретенные непосредственно для собственного использования, до истечения 60-месячного периода с даты импорта и/или приобретения на территории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В случае несоответствия условиям, установленным пунктами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подпунктами 1, 2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в случае реализации товаров на территории Кыргызской Республики налогоплательщик переходит на исчисление и уплату налогов по общему налоговому режиму с 1 числа месяца, следующего за истекшим налоговым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несоблюдении подпункта 6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налогоплательщик обязан перейти на исчисление и уплату налогов по общему налоговому режиму с 1 числа месяца, следующего за месяцем, в котором такой актив был отчужден.»;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 слова «одного года» заменить словами «шести календарных месяцев»;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Датой применения налогоплательщиком режима, установленного </w:t>
      </w:r>
      <w:r>
        <w:rPr>
          <w:rFonts w:ascii="Arial" w:cs="Arial" w:eastAsia="Arial" w:hAnsi="Arial"/>
          <w:sz w:val="24"/>
          <w:szCs w:val="24"/>
        </w:rPr>
        <w:t xml:space="preserve">статьей 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является дата налоговой регистрации на данном режиме.»;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13</w:t>
      </w:r>
      <w:r>
        <w:rPr>
          <w:rFonts w:ascii="Arial" w:cs="Arial" w:eastAsia="Arial" w:hAnsi="Arial"/>
          <w:sz w:val="24"/>
          <w:szCs w:val="24"/>
        </w:rPr>
        <w:t xml:space="preserve"> после слов «</w:t>
      </w:r>
      <w:r>
        <w:rPr>
          <w:rFonts w:ascii="Arial" w:cs="Arial" w:eastAsia="Arial" w:hAnsi="Arial"/>
          <w:sz w:val="24"/>
          <w:szCs w:val="24"/>
        </w:rPr>
        <w:t xml:space="preserve">статьей 324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«и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430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Таможенный орган на основании выполненных процедур, предусмотренных пунктами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а также представленных документов, необходимых для совершения таможенных операций, связанных с выпуском товаров, принимает решение о выпуске товаров в соответствии с таможенной процедурой выпуска для внутреннего потребления.»;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после слов «частью 4 </w:t>
      </w:r>
      <w:r>
        <w:rPr>
          <w:rFonts w:ascii="Arial" w:cs="Arial" w:eastAsia="Arial" w:hAnsi="Arial"/>
          <w:sz w:val="24"/>
          <w:szCs w:val="24"/>
        </w:rPr>
        <w:t xml:space="preserve">статьи 324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«и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430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В целях возврата депозитных средств налогоплательщик в течение 210 календарных дней обращается с соответствующим заявлением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налоговый орган – со дня принятия на учет импортированных товаров по форме, утвержденной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таможенный орган – со дня выпуска товаров в соответствии с таможенной процедурой выпуска по форме, утвержденной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заверенные налогоплательщиком копии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экспорте в третьи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экспортная декларация на все импортированные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товаросопроводительные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счет-фактура;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на поставку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экспорте в государства – члены ЕАЭС: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ввозе товаров и уплате косвенных налогов, подтвержденное уполномоченным органом государства – члена ЕАЭС, на территорию которого были импортированы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товаросопроводительные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счет-фактура;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на поставку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Соответствующий налоговый/таможенный орган производит обследование (проверку) представленных налогоплательщиком документов и в случае их соответствия требованиям настоящего Положения не позднее 30 календарных дней со дня представления заявления налогоплательщиком принимает решение о возврате депозитных средств, уплаченных в счет исполнения обязательств по условно начисленным суммам НДС на импорт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настоящим пунктом, депозитные средства подлежат возврату в отношении экспортированных товаров, по которым подтверждена уплата косвенных налогов в стране назначения по всем или части кодов ТН ВЭД на уровне десяти знаков, при условии подтверждения общего количества экспортированных товаров в стране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Депозитные средства подлежат возврату только при отсутствии налоговой задолженности по другим видам налогов и задолженности по таможенным платежам, специальным, антидемпинговым, компенсационным пошлинам, включая обязательство по НДС на импорт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орган, уполномоченный государственный орган в сфере таможенного дела путем межведомственного взаимодействия запрашивают письменное подтверждение о наличии либо отсутствии налоговой задолженности, задолженности по таможенным платежам, специальным, антидемпинговым, компенсационным пошлинам.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посредством межведомственного электронного взаимодействия сведений о наличии либо отсутствии налоговой задолженности, задолженности по таможенным платежам, специальным, антидемпинговым, компенсационным пошлинам письменное подтверждение может не представляться.»;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В случае неподтверждения экспорта товаров в течение 180 календарных дней, исчисляемых со дня принятия на учет импортированных товаров из государств – членов ЕАЭС, либо со дня выпуска товаров таможенными органами в соответствии с таможенной процедурой выпуска у налогоплательщика возникает обязательство по уплате косвенных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Условно начисленная сумма НДС на импорт, внесенная на депозитный счет в соответствии с пунктами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перечисляется в бюджет с начислением пени в соответствии с налоговым законодательством и законодательством в сфере таможенного дела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неподтверждения экспорта товаров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неподтверждения уплаты косвенных налогов в отношении всех или части кодов ТН ВЭД в стране назначения в общем объеме экспортированных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непредставления налогоплательщиком заявления на возврат депозитных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несоблюдения условий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под подтверждением уплаты косвенных налогов понимается предоставление заявления о ввозе товаров и уплате косвенных налогов, установленного Протоколом об обмене информацией в электронном виде между налоговыми органами государств – членов Евразийского экономического союза об уплаченных суммах косвенных налогов от 11 декабря 2009 года, подтвержденное уполномоченным органом государства – члена ЕАЭС, на территорию которого были импортированы товары.».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ob1d3slntp-8_cgrfp_" Type="http://schemas.openxmlformats.org/officeDocument/2006/relationships/hyperlink" Target="http://kodeks.duckdns.org/document/230031070" TargetMode="External"/><Relationship Id="rIdqzhg4mingd-rtrgy6z0nw" Type="http://schemas.openxmlformats.org/officeDocument/2006/relationships/hyperlink" Target="http://kodeks.duckdns.org/document/112301#st_13" TargetMode="External"/><Relationship Id="rIdk-2hl0mzg7emrng1bc31k" Type="http://schemas.openxmlformats.org/officeDocument/2006/relationships/hyperlink" Target="http://kodeks.duckdns.org/document/112301#st_17" TargetMode="External"/><Relationship Id="rIdjk3vk0opwqqfntfzh8wn-" Type="http://schemas.openxmlformats.org/officeDocument/2006/relationships/hyperlink" Target="http://kodeks.duckdns.org/document/158988" TargetMode="External"/><Relationship Id="rIdia_jdhl2mhwtgiuevcpzz" Type="http://schemas.openxmlformats.org/officeDocument/2006/relationships/hyperlink" Target="http://kodeks.duckdns.org/document/159000" TargetMode="External"/><Relationship Id="rIdv7w9dxfxa4lepi0hzyqb-" Type="http://schemas.openxmlformats.org/officeDocument/2006/relationships/hyperlink" Target="http://kodeks.duckdns.org/document/158988" TargetMode="External"/><Relationship Id="rIdfoocpwtzuh_rogz32g0i4" Type="http://schemas.openxmlformats.org/officeDocument/2006/relationships/hyperlink" Target="http://kodeks.duckdns.org/document/11234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2026-09-23T00:35:28.565Z</dcterms:created>
  <dcterms:modified xsi:type="dcterms:W3CDTF">2026-09-23T00:35:28.565Z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