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24 августа</w:t>
      </w:r>
      <w:r>
        <w:rPr>
          <w:rFonts w:ascii="Arial" w:cs="Arial" w:eastAsia="Arial" w:hAnsi="Arial"/>
          <w:sz w:val="24"/>
          <w:szCs w:val="24"/>
        </w:rPr>
        <w:t xml:space="preserve"> 202</w:t>
      </w:r>
      <w:r>
        <w:rPr>
          <w:rFonts w:ascii="Arial" w:cs="Arial" w:eastAsia="Arial" w:hAnsi="Arial"/>
          <w:sz w:val="24"/>
          <w:szCs w:val="24"/>
        </w:rPr>
        <w:t xml:space="preserve">6</w:t>
      </w:r>
      <w:r>
        <w:rPr>
          <w:rFonts w:ascii="Arial" w:cs="Arial" w:eastAsia="Arial" w:hAnsi="Arial"/>
          <w:sz w:val="24"/>
          <w:szCs w:val="24"/>
        </w:rPr>
        <w:t xml:space="preserve"> года № </w:t>
      </w:r>
      <w:r>
        <w:rPr>
          <w:rFonts w:ascii="Arial" w:cs="Arial" w:eastAsia="Arial" w:hAnsi="Arial"/>
          <w:sz w:val="24"/>
          <w:szCs w:val="24"/>
        </w:rPr>
        <w:t xml:space="preserve">570</w:t>
      </w:r>
    </w:p>
    <w:p>
      <w:pPr>
        <w:spacing w:after="120"/>
        <w:jc w:val="center"/>
      </w:pPr>
      <w:r>
        <w:rPr>
          <w:rFonts w:ascii="Arial" w:cs="Arial" w:eastAsia="Arial" w:hAnsi="Arial"/>
          <w:b/>
          <w:bCs/>
          <w:sz w:val="28"/>
          <w:szCs w:val="28"/>
        </w:rPr>
        <w:t xml:space="preserve">О некоторых вопросах</w:t>
      </w:r>
    </w:p>
    <w:p>
      <w:pPr>
        <w:spacing w:after="120"/>
        <w:jc w:val="center"/>
      </w:pPr>
      <w:r>
        <w:rPr>
          <w:rFonts w:ascii="Arial" w:cs="Arial" w:eastAsia="Arial" w:hAnsi="Arial"/>
          <w:b/>
          <w:bCs/>
          <w:sz w:val="28"/>
          <w:szCs w:val="28"/>
        </w:rPr>
        <w:t xml:space="preserve">в сфере документов об оценке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Соглашения о принципах и подходах осуществления государственного контроля (надзора) за соблюдением требований технических регламентов Евразийского экономического союза в целях гармонизации законодательства государств – членов Евразийского экономического союза в указанной сфере, подписанного 16 февраля 2021 года в городе Москве, решения Коллегии Евразийской экономической комиссии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от 20 марта 2018 года № 41, в соответствии со статьями </w:t>
      </w:r>
      <w:hyperlink w:history="1" r:id="rIdsppkbnsli1kxbj6bhaxv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49rikpgxkm4b40o4pukp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itsgrkcbgggt3esnmbvfw">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приостановления, возобновления и прекращения действия документов об оценке соответствия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cge2ic2_wy5h8wl6lzl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 следующее изменение:</w:t>
      </w:r>
    </w:p>
    <w:p>
      <w:pPr>
        <w:spacing w:after="120"/>
        <w:jc w:val="both"/>
      </w:pPr>
      <w:r>
        <w:rPr>
          <w:rFonts w:ascii="Arial" w:cs="Arial" w:eastAsia="Arial" w:hAnsi="Arial"/>
          <w:sz w:val="24"/>
          <w:szCs w:val="24"/>
        </w:rPr>
        <w:t xml:space="preserve">в </w:t>
      </w:r>
      <w:hyperlink w:history="1" r:id="rIdpg2qqp9oq3j5lcjwhzlo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принятия декларации о соответствии требованиям технических регламентов Евразийского экономического союза (Таможенного союза) единой формы, утвержденном вышеуказанным </w:t>
      </w:r>
      <w:hyperlink w:history="1" r:id="rId_ngupdbepuelfcodkyqv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пункт 18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 Основаниями для прекращения действия декларации о соответствии являются:</w:t>
      </w:r>
    </w:p>
    <w:p>
      <w:pPr>
        <w:spacing w:after="120"/>
        <w:jc w:val="both"/>
      </w:pPr>
      <w:r>
        <w:rPr>
          <w:rFonts w:ascii="Arial" w:cs="Arial" w:eastAsia="Arial" w:hAnsi="Arial"/>
          <w:sz w:val="24"/>
          <w:szCs w:val="24"/>
        </w:rPr>
        <w:t xml:space="preserve">1) обращение заявителя о прекращении действия декларации о соответствии (путем подачи уведомления в уполномоченный орган, зарегистрировавший декларацию о соответствии);</w:t>
      </w:r>
    </w:p>
    <w:p>
      <w:pPr>
        <w:spacing w:after="120"/>
        <w:jc w:val="both"/>
      </w:pPr>
      <w:r>
        <w:rPr>
          <w:rFonts w:ascii="Arial" w:cs="Arial" w:eastAsia="Arial" w:hAnsi="Arial"/>
          <w:sz w:val="24"/>
          <w:szCs w:val="24"/>
        </w:rPr>
        <w:t xml:space="preserve">2) установление фактов несоответствия продукции, документов об оценке соответствия требованиям, установленным техническими регламентами, или обязательным требованиям, подлежащим применению до вступления в силу технических регламентов в соответствии с </w:t>
      </w:r>
      <w:hyperlink w:history="1" r:id="rIdpo-ucbcw4m0m6apa6fqa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техническом регулировании в Кыргызской Республике», с учетом того, что несоответствие не может быть устранено проведением корректирующих мероприятий;</w:t>
      </w:r>
    </w:p>
    <w:p>
      <w:pPr>
        <w:spacing w:after="120"/>
        <w:jc w:val="both"/>
      </w:pPr>
      <w:r>
        <w:rPr>
          <w:rFonts w:ascii="Arial" w:cs="Arial" w:eastAsia="Arial" w:hAnsi="Arial"/>
          <w:sz w:val="24"/>
          <w:szCs w:val="24"/>
        </w:rPr>
        <w:t xml:space="preserve">3) регистрация декларации о соответствии вне области аккредитации;</w:t>
      </w:r>
    </w:p>
    <w:p>
      <w:pPr>
        <w:spacing w:after="120"/>
        <w:jc w:val="both"/>
      </w:pPr>
      <w:r>
        <w:rPr>
          <w:rFonts w:ascii="Arial" w:cs="Arial" w:eastAsia="Arial" w:hAnsi="Arial"/>
          <w:sz w:val="24"/>
          <w:szCs w:val="24"/>
        </w:rPr>
        <w:t xml:space="preserve">4) нарушение заявителем схемы декларирования, процедур оценки соответствия;</w:t>
      </w:r>
    </w:p>
    <w:p>
      <w:pPr>
        <w:spacing w:after="120"/>
        <w:jc w:val="both"/>
      </w:pPr>
      <w:r>
        <w:rPr>
          <w:rFonts w:ascii="Arial" w:cs="Arial" w:eastAsia="Arial" w:hAnsi="Arial"/>
          <w:sz w:val="24"/>
          <w:szCs w:val="24"/>
        </w:rPr>
        <w:t xml:space="preserve">5) нарушение требований по идентификации продукции;</w:t>
      </w:r>
    </w:p>
    <w:p>
      <w:pPr>
        <w:spacing w:after="120"/>
        <w:jc w:val="both"/>
      </w:pPr>
      <w:r>
        <w:rPr>
          <w:rFonts w:ascii="Arial" w:cs="Arial" w:eastAsia="Arial" w:hAnsi="Arial"/>
          <w:sz w:val="24"/>
          <w:szCs w:val="24"/>
        </w:rPr>
        <w:t xml:space="preserve">6) нарушение требований к отбору образцов (проб) продукции;</w:t>
      </w:r>
    </w:p>
    <w:p>
      <w:pPr>
        <w:spacing w:after="120"/>
        <w:jc w:val="both"/>
      </w:pPr>
      <w:r>
        <w:rPr>
          <w:rFonts w:ascii="Arial" w:cs="Arial" w:eastAsia="Arial" w:hAnsi="Arial"/>
          <w:sz w:val="24"/>
          <w:szCs w:val="24"/>
        </w:rPr>
        <w:t xml:space="preserve">7) нарушение требований к формированию программы исследований (испытаний) и измерений продукции;</w:t>
      </w:r>
    </w:p>
    <w:p>
      <w:pPr>
        <w:spacing w:after="120"/>
        <w:jc w:val="both"/>
      </w:pPr>
      <w:r>
        <w:rPr>
          <w:rFonts w:ascii="Arial" w:cs="Arial" w:eastAsia="Arial" w:hAnsi="Arial"/>
          <w:sz w:val="24"/>
          <w:szCs w:val="24"/>
        </w:rPr>
        <w:t xml:space="preserve">8) нарушение требований к проведению исследований (испытаний) и измерений продукции;</w:t>
      </w:r>
    </w:p>
    <w:p>
      <w:pPr>
        <w:spacing w:after="120"/>
        <w:jc w:val="both"/>
      </w:pPr>
      <w:r>
        <w:rPr>
          <w:rFonts w:ascii="Arial" w:cs="Arial" w:eastAsia="Arial" w:hAnsi="Arial"/>
          <w:sz w:val="24"/>
          <w:szCs w:val="24"/>
        </w:rPr>
        <w:t xml:space="preserve">9) недостоверность сведений и документов, послуживших основанием для подтверждения соответствия продукции обязательным требованиям;</w:t>
      </w:r>
    </w:p>
    <w:p>
      <w:pPr>
        <w:spacing w:after="120"/>
        <w:jc w:val="both"/>
      </w:pPr>
      <w:r>
        <w:rPr>
          <w:rFonts w:ascii="Arial" w:cs="Arial" w:eastAsia="Arial" w:hAnsi="Arial"/>
          <w:sz w:val="24"/>
          <w:szCs w:val="24"/>
        </w:rPr>
        <w:t xml:space="preserve">10) непредставление заявителем, предъявившим документ об оценке соответствия, по требованию органа государственного контроля (надзора) протоколов испытаний (исследований, измерений), на основании которых принят указанный документ, либо отсутствие информации, подтверждающей выдачу таких протоколов испытательной лабораторией.».</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 </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25 августа 2026 года № 64 (3824)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pkbnsli1kxbj6bhaxv6" Type="http://schemas.openxmlformats.org/officeDocument/2006/relationships/hyperlink" Target="http://kodeks.duckdns.org/document/112301#st_13" TargetMode="External"/><Relationship Id="rId49rikpgxkm4b40o4pukpk" Type="http://schemas.openxmlformats.org/officeDocument/2006/relationships/hyperlink" Target="http://kodeks.duckdns.org/document/112301#st_17" TargetMode="External"/><Relationship Id="rIditsgrkcbgggt3esnmbvfw" Type="http://schemas.openxmlformats.org/officeDocument/2006/relationships/hyperlink" Target="http://kodeks.duckdns.org/document/230050233" TargetMode="External"/><Relationship Id="rIdcge2ic2_wy5h8wl6lzlci" Type="http://schemas.openxmlformats.org/officeDocument/2006/relationships/hyperlink" Target="http://kodeks.duckdns.org/document/12908" TargetMode="External"/><Relationship Id="rIdpg2qqp9oq3j5lcjwhzloe" Type="http://schemas.openxmlformats.org/officeDocument/2006/relationships/hyperlink" Target="http://kodeks.duckdns.org/document/230010901" TargetMode="External"/><Relationship Id="rId_ngupdbepuelfcodkyqvz" Type="http://schemas.openxmlformats.org/officeDocument/2006/relationships/hyperlink" Target="http://kodeks.duckdns.org/document/12908" TargetMode="External"/><Relationship Id="rIdpo-ucbcw4m0m6apa6fqav" Type="http://schemas.openxmlformats.org/officeDocument/2006/relationships/hyperlink" Target="http://kodeks.duckdns.org/document/145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2026-09-23T05:49:34.207Z</dcterms:created>
  <dcterms:modified xsi:type="dcterms:W3CDTF">2026-09-23T05:49:34.207Z</dcterms:modified>
</cp:coreProperties>
</file>

<file path=docProps/custom.xml><?xml version="1.0" encoding="utf-8"?>
<Properties xmlns="http://schemas.openxmlformats.org/officeDocument/2006/custom-properties" xmlns:vt="http://schemas.openxmlformats.org/officeDocument/2006/docPropsVTypes"/>
</file>