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Внимание!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Настоящий </w:t>
      </w:r>
      <w:hyperlink w:history="1" r:id="rIdt3qll_2hwmpaprn7agj0_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действует до завершения реализации проекта 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по строительству железной дороги «Китай – Кыргызстан – Узбекистан»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ПРИКАЗ МИНИСТЕРСТВА СТРОИТЕЛЬСТВА, АРХИТЕКТУРЫ И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ЖИЛИЩНО-КОММУНАЛЬНОГО ХОЗЯЙСТВА </w:t>
      </w: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/>
        <w:jc w:val="left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17 августа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127-нпа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приказ Государственного агентства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архитектуры, строительства и жилищно-коммунального хозяйства при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Кабинете Министров Кыргызской Республики «Об утверждении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перечня лицензий в сфере градостроительства, проектно-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изыскательских работ и строительно-монтажных работ, признаваемых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 территории Кыргызской Республики в одностороннем порядке,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выданных иностранными государствами» от 26 ноября 2024 года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№ 82-нпа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3 </w:t>
      </w:r>
      <w:r>
        <w:rPr>
          <w:rFonts w:ascii="Arial" w:cs="Arial" w:eastAsia="Arial" w:hAnsi="Arial"/>
          <w:sz w:val="24"/>
          <w:szCs w:val="24"/>
        </w:rPr>
        <w:t xml:space="preserve">статьи 27</w:t>
      </w:r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«О лицензионно-разрешительной системе в Кыргызской Республике» </w:t>
      </w:r>
      <w:r>
        <w:rPr>
          <w:rFonts w:ascii="Arial" w:cs="Arial" w:eastAsia="Arial" w:hAnsi="Arial"/>
          <w:sz w:val="24"/>
          <w:szCs w:val="24"/>
        </w:rPr>
        <w:t xml:space="preserve">пунктом 93</w:t>
      </w:r>
      <w:r>
        <w:rPr>
          <w:rFonts w:ascii="Arial" w:cs="Arial" w:eastAsia="Arial" w:hAnsi="Arial"/>
          <w:sz w:val="24"/>
          <w:szCs w:val="24"/>
        </w:rPr>
        <w:t xml:space="preserve"> положения «О лицензировании отдельных видов деятельности» утвержденного </w:t>
      </w:r>
      <w:hyperlink w:history="1" r:id="rIdwit34qpmudsovh9mx5px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вопросах лицензирования отдельных видов деятельности» от 14 декабря 2023 года № 678, руководствуясь подпунктом 1 пункта 20 </w:t>
      </w:r>
      <w:r>
        <w:rPr>
          <w:rFonts w:ascii="Arial" w:cs="Arial" w:eastAsia="Arial" w:hAnsi="Arial"/>
          <w:sz w:val="24"/>
          <w:szCs w:val="24"/>
        </w:rPr>
        <w:t xml:space="preserve">списка</w:t>
      </w:r>
      <w:r>
        <w:rPr>
          <w:rFonts w:ascii="Arial" w:cs="Arial" w:eastAsia="Arial" w:hAnsi="Arial"/>
          <w:sz w:val="24"/>
          <w:szCs w:val="24"/>
        </w:rPr>
        <w:t xml:space="preserve"> отдельных нормотворческих полномочий Кабинета Министров Кыргызской Республики, делегируемых государственным органам и исполнительным органам местного самоуправления Кыргызской Республики утвержденного </w:t>
      </w:r>
      <w:hyperlink w:history="1" r:id="rIdfu_qhinhod_yyqqqqpdx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«О делегировании отдельных нормотворческих полномочий Кабинета Министров Кыргызской Республики государственным органам и исполнительным органам местного самоуправления» от 3 марта 2023 года № 115, </w:t>
      </w:r>
      <w:hyperlink w:history="1" r:id="rIdbjbi_jvsmxx7qyzsecib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положением</w:t>
        </w:r>
      </w:hyperlink>
      <w:r>
        <w:rPr>
          <w:rFonts w:ascii="Arial" w:cs="Arial" w:eastAsia="Arial" w:hAnsi="Arial"/>
          <w:sz w:val="24"/>
          <w:szCs w:val="24"/>
        </w:rPr>
        <w:t xml:space="preserve"> «О Министерстве строительства, архитектуры и жилищно-коммунального хозяйства Кыргызской Республики» (далее – Минстрой), утвержденным </w:t>
      </w:r>
      <w:hyperlink w:history="1" r:id="rIdiu4b8giafi2v9jqxehg5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Кабинета Министров Кыргызской Республики от 22 апреля 2025 года № 221,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приказываю: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в </w:t>
      </w:r>
      <w:hyperlink w:history="1" r:id="rId1q251cf-jm20zwbnaqj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</w:t>
        </w:r>
      </w:hyperlink>
      <w:r>
        <w:rPr>
          <w:rFonts w:ascii="Arial" w:cs="Arial" w:eastAsia="Arial" w:hAnsi="Arial"/>
          <w:sz w:val="24"/>
          <w:szCs w:val="24"/>
        </w:rPr>
        <w:t xml:space="preserve"> Государственного агентства Архитектуры, строительства и жилищно-коммунального хозяйства «Об утверждении </w:t>
      </w:r>
      <w:hyperlink w:history="1" r:id="rIduidf53rc_r01bzgap0fa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перечня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государствами» от 26 ноября 2024 года № 82-нпа следующее изменение:</w:t>
      </w:r>
    </w:p>
    <w:p>
      <w:pPr>
        <w:spacing w:after="120"/>
        <w:jc w:val="both"/>
      </w:pPr>
      <w:hyperlink w:history="1" r:id="rIdlwsm4bicybxnugwwlm0u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лицензий в сфере градостроительства, проектно-изыскательских работ и строительно-монтажных работ, признаваемых на территории Кыргызской Республики в одностороннем порядке, выданных иностранными государствами, утвержденный вышеуказанным </w:t>
      </w:r>
      <w:hyperlink w:history="1" r:id="rIdmt_2lyy9whs-uapzntjy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дополнить пунктами № </w:t>
      </w:r>
      <w:r>
        <w:rPr>
          <w:rFonts w:ascii="Arial" w:cs="Arial" w:eastAsia="Arial" w:hAnsi="Arial"/>
          <w:sz w:val="24"/>
          <w:szCs w:val="24"/>
        </w:rPr>
        <w:t xml:space="preserve">36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38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39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40</w:t>
      </w:r>
      <w:r>
        <w:rPr>
          <w:rFonts w:ascii="Arial" w:cs="Arial" w:eastAsia="Arial" w:hAnsi="Arial"/>
          <w:sz w:val="24"/>
          <w:szCs w:val="24"/>
        </w:rPr>
        <w:t xml:space="preserve"> , </w:t>
      </w:r>
      <w:r>
        <w:rPr>
          <w:rFonts w:ascii="Arial" w:cs="Arial" w:eastAsia="Arial" w:hAnsi="Arial"/>
          <w:sz w:val="24"/>
          <w:szCs w:val="24"/>
        </w:rPr>
        <w:t xml:space="preserve">41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42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43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44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45</w:t>
      </w:r>
      <w:r>
        <w:rPr>
          <w:rFonts w:ascii="Arial" w:cs="Arial" w:eastAsia="Arial" w:hAnsi="Arial"/>
          <w:sz w:val="24"/>
          <w:szCs w:val="24"/>
        </w:rPr>
        <w:t xml:space="preserve"> следующего содержания: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480"/>
        <w:gridCol w:w="1940"/>
        <w:gridCol w:w="1940"/>
        <w:gridCol w:w="1940"/>
        <w:gridCol w:w="1940"/>
        <w:gridCol w:w="1940"/>
      </w:tblGrid>
      <w:tr>
        <w:tc>
          <w:tcPr>
            <w:tcW w:type="dxa" w:w="480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</w:t>
            </w:r>
          </w:p>
        </w:tc>
        <w:tc>
          <w:tcPr>
            <w:tcW w:type="dxa" w:w="9700"/>
            <w:gridSpan w:val="5"/>
            <w:tcBorders>
              <w:top w:val="none" w:color="auto" w:sz="0"/>
              <w:left w:val="none" w:color="auto" w:sz="0"/>
              <w:bottom w:val="single" w:color="CBBF9E" w:sz="4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«Второе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навигационное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инженерное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коммуникационной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Ухань,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Дунсиху,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Цзиньинху,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91420100177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6853910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Компании 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ограниченной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ответственностью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групповая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компания 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5»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 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Чунцин,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Парк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высоких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технологий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Северной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новой зоны,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Тяньгундянь,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Цзиньчэнлу,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 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91500000188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925362Т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38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11-ого 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пров.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Хубэй,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Ухань, р-н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Учан,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Чжуншань,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277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91420000179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31508R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39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«12-е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Тайюань,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Ваньболинь,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Сикуан, №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130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кодекс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91140000110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0711840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«14-ого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Провинция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Шаньдун,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город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Цзинань,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Лися,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улица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Западная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Олимпийского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спорта,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2666, Дом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строительства,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блок 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кодекс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91370000163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0559891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«15-е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Шанхай,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Цзинъань,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Гунхэсиньлу,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666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91310000169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9534723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42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Бишкекский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ОсОО «19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бюро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железнодорожной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корпорации»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Пекин,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Пекинской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экономико-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технологической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зоны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развития,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Жунхуанью,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19, корп. 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91110000122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027391R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43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ОсОО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«Южная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инженерно-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консультационная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 надзорная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компания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Группы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Первый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институт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Китайских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железных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дорог»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г.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Чжухай,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новый район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Хэнцинь,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Жунчжудао,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169, каб.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1804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91440400224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337040W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44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«Шанхай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Сяньсин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Констракшн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Супервиджн»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Тяньму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Чжунлу, 291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91310106133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731886L</w:t>
            </w:r>
          </w:p>
        </w:tc>
      </w:tr>
      <w:tr>
        <w:tc>
          <w:tcPr>
            <w:tcW w:type="dxa" w:w="480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center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45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Филиал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ООО «Чайна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Рейлвей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Констракшн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Групп» в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Кыргызской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Республике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Китайская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Народная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Республика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КНР, Пекин,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Шицзиншань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район, ул.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Шицзиншань,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20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Строительно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-монтажные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работы</w:t>
            </w:r>
          </w:p>
        </w:tc>
        <w:tc>
          <w:tcPr>
            <w:tcW w:type="dxa" w:w="1940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Единый код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социального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кредита: 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91110000102</w:t>
            </w:r>
          </w:p>
          <w:p>
            <w:pPr>
              <w:jc w:val="lef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28709XY</w:t>
            </w:r>
          </w:p>
        </w:tc>
      </w:tr>
      <w:tr>
        <w:tc>
          <w:tcPr>
            <w:tcW w:type="dxa" w:w="480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right"/>
            </w:pPr>
            <w:r>
              <w:rPr>
                <w:rFonts w:ascii="Arial" w:cs="Arial" w:eastAsia="Arial" w:hAnsi="Arial"/>
                <w:b w:val="false"/>
                <w:bCs w:val="false"/>
                <w:sz w:val="24"/>
                <w:szCs w:val="24"/>
              </w:rPr>
              <w:t xml:space="preserve">».</w:t>
            </w:r>
          </w:p>
        </w:tc>
        <w:tc>
          <w:tcPr>
            <w:tcW w:type="dxa" w:w="9700"/>
            <w:gridSpan w:val="5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лицензирования и сертификации: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принять меры по официальному опубликованию настоящего Приказа в соответствии с </w:t>
      </w:r>
      <w:hyperlink w:history="1" r:id="rIdkncsojlbrmy4yt7ban83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 Республики «Об источниках официального опубликования нормативных правовых актов Кыргызской Республики» от 26 февраля 2010 года № 117;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– в течение трех рабочих дней со дня официального опубликования направить копию настоящего Приказа в двух экземплярах на государственном и официальном языках, на бумажном и электронном носителях, с указанием источника опубликования указанного Приказа, в Министерство юстиции Кыргызской Республики для внесения в государственный реестр нормативно правовых актов и в Администрацию Президента Кыргызской Республики для сведения.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приказа возложить на первого заместителя министра Б.Ч. Чолпонбаева.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приказ вступает в силу по истечению семи дней со дня официального опубликования и действует до завершения реализации проекта по строительству железной дороги «Китай – Кыргызстан – Узбекистан».</w:t>
      </w:r>
    </w:p>
    <w:p>
      <w:pPr>
        <w:spacing w:after="120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на официальном сайте https://egov.kg/ru/ministry/construction/npa от 17 августа 2026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Н.К. Орунтаев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q-rgqby0h5see_jk2ro5t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dalil.kg/document/230050288</w:t>
      </w:r>
    </w:hyperlink>
  </w:p>
  <w:p>
    <w:pPr>
      <w:spacing w:after="0" w:before="40"/>
      <w:jc w:val="center"/>
    </w:pPr>
    <w:hyperlink w:history="1" r:id="rIdfrgtozonxz6mkbidi0hs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3qll_2hwmpaprn7agj0_" Type="http://schemas.openxmlformats.org/officeDocument/2006/relationships/hyperlink" Target="https://dalil.kg/document/230050288" TargetMode="External"/><Relationship Id="rIdwit34qpmudsovh9mx5pxu" Type="http://schemas.openxmlformats.org/officeDocument/2006/relationships/hyperlink" Target="https://dalil.kg/document/230000630" TargetMode="External"/><Relationship Id="rIdfu_qhinhod_yyqqqqpdxl" Type="http://schemas.openxmlformats.org/officeDocument/2006/relationships/hyperlink" Target="https://dalil.kg/document/160035" TargetMode="External"/><Relationship Id="rIdbjbi_jvsmxx7qyzsecibk" Type="http://schemas.openxmlformats.org/officeDocument/2006/relationships/hyperlink" Target="https://dalil.kg/document/230026310" TargetMode="External"/><Relationship Id="rIdiu4b8giafi2v9jqxehg5y" Type="http://schemas.openxmlformats.org/officeDocument/2006/relationships/hyperlink" Target="https://dalil.kg/document/230026304" TargetMode="External"/><Relationship Id="rId1q251cf-jm20zwbnaqjad" Type="http://schemas.openxmlformats.org/officeDocument/2006/relationships/hyperlink" Target="https://dalil.kg/document/230018180" TargetMode="External"/><Relationship Id="rIduidf53rc_r01bzgap0faj" Type="http://schemas.openxmlformats.org/officeDocument/2006/relationships/hyperlink" Target="https://dalil.kg/document/230018192" TargetMode="External"/><Relationship Id="rIdlwsm4bicybxnugwwlm0uc" Type="http://schemas.openxmlformats.org/officeDocument/2006/relationships/hyperlink" Target="https://dalil.kg/document/230018192" TargetMode="External"/><Relationship Id="rIdmt_2lyy9whs-uapzntjyi" Type="http://schemas.openxmlformats.org/officeDocument/2006/relationships/hyperlink" Target="https://dalil.kg/document/230018180" TargetMode="External"/><Relationship Id="rIdkncsojlbrmy4yt7ban83s" Type="http://schemas.openxmlformats.org/officeDocument/2006/relationships/hyperlink" Target="https://dalil.kg/document/92072" TargetMode="External"/><Relationship Id="rId8" Type="http://schemas.openxmlformats.org/officeDocument/2006/relationships/image" Target="media/8de64316e95979c063c17bcd5380dc052a2594e9.png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q-rgqby0h5see_jk2ro5t" Type="http://schemas.openxmlformats.org/officeDocument/2006/relationships/hyperlink" Target="https://dalil.kg/document/230050288" TargetMode="External"/><Relationship Id="rIdfrgtozonxz6mkbidi0hs0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2026-09-23T16:35:38.841Z</dcterms:created>
  <dcterms:modified xsi:type="dcterms:W3CDTF">2026-09-23T16:35:38.841Z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