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проведения предвыборной агитации при проведении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выборов Президента Кыргызской Республики и депутатов Жогорку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Кыргызской Республики» от 28 июля 2025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 условий проведения предвыборной агитации и единообразного применения норм избирательного законодательства,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ktmocrzs1wuv9weyt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порядке предвыборной агитации при проведении выборов Президента Кыргызской Республики и депутатов Жогорку Кенеша Кыргызской Республики» от 28 июля 2025 года № 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e3_1rlqhd25ecd5pv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предвыборной агитации при проведении выборов Президента Кыргызской Республики и депутатов Жогорку Кенеша Кыргызской Республики», утвержденном вышеуказанным </w:t>
      </w:r>
      <w:hyperlink w:history="1" r:id="rIdzvyrglc4zccumw8lkpd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</w:t>
      </w:r>
      <w:r>
        <w:rPr>
          <w:rFonts w:ascii="Arial" w:cs="Arial" w:eastAsia="Arial" w:hAnsi="Arial"/>
          <w:sz w:val="24"/>
          <w:szCs w:val="24"/>
        </w:rPr>
        <w:t xml:space="preserve">пункта 42</w:t>
      </w:r>
      <w:r>
        <w:rPr>
          <w:rFonts w:ascii="Arial" w:cs="Arial" w:eastAsia="Arial" w:hAnsi="Arial"/>
          <w:sz w:val="24"/>
          <w:szCs w:val="24"/>
        </w:rPr>
        <w:t xml:space="preserve"> список агитационных материалов и товаров, разрешённых к безвозмездному распространению среди избирателей в период агитации, заменить следующим списком: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Агитационные печатные материалы (газеты, листовки, плакаты, буклеты, календари, открытки, визитные карточки кандидата, текстильные шопперы (экосумки).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Значки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Футболки, жилетки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Головные уборы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Шарфы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Флажки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Воздушные шары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Ручки, карандаши, кружки, блокноты с изображением кандидата и/или ФИО кандидата или символикой политической партии.»;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</w:t>
      </w:r>
      <w:r>
        <w:rPr>
          <w:rFonts w:ascii="Arial" w:cs="Arial" w:eastAsia="Arial" w:hAnsi="Arial"/>
          <w:sz w:val="24"/>
          <w:szCs w:val="24"/>
        </w:rPr>
        <w:t xml:space="preserve">пункта 45</w:t>
      </w:r>
      <w:r>
        <w:rPr>
          <w:rFonts w:ascii="Arial" w:cs="Arial" w:eastAsia="Arial" w:hAnsi="Arial"/>
          <w:sz w:val="24"/>
          <w:szCs w:val="24"/>
        </w:rPr>
        <w:t xml:space="preserve"> после слова «памятниках,» дополнить словами «въездные арки (стелы),».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ktmocrzs1wuv9weythqe" Type="http://schemas.openxmlformats.org/officeDocument/2006/relationships/hyperlink" Target="http://kodeks.duckdns.org/document/230029981" TargetMode="External"/><Relationship Id="rIdke3_1rlqhd25ecd5pvgen" Type="http://schemas.openxmlformats.org/officeDocument/2006/relationships/hyperlink" Target="http://kodeks.duckdns.org/document/230029993" TargetMode="External"/><Relationship Id="rIdzvyrglc4zccumw8lkpdtg" Type="http://schemas.openxmlformats.org/officeDocument/2006/relationships/hyperlink" Target="http://kodeks.duckdns.org/document/2300299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2026-09-23T11:06:18.991Z</dcterms:created>
  <dcterms:modified xsi:type="dcterms:W3CDTF">2026-09-23T11:06:18.991Z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