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XXXIII сессия Шарского аыйлного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№3\3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0б утверждении остаточной суммы 271,7 сом на 01.01.2012 год по специальному счету детских садиков Ак Шоола Нуру Шарк села Шарк и Кун Нуру Шарк села Падаван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остаточной сумме на основе сметы специального счета детских садиков Ак Шоола Нуру Шарк села Шарк и Кун Нуру Шарк села Падаван на 01.01.2012 год, работающих за счет финансирования республиканского бюджета,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остаточную сумму в размере 271,7 сом на основе сметы специального счета детских садиков Ак Шоола Нуру Шарк села Шарк и Кун Нуру Шарк села Падаван на 01.01.2012 год и провести ее за спец счёт банка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Потратить на статью по ремонту помещений -50,От.сом, на покупку мебели -</w:t>
      </w:r>
      <w:r>
        <w:rPr>
          <w:rFonts w:ascii="Arial" w:cs="Arial" w:eastAsia="Arial" w:hAnsi="Arial"/>
          <w:sz w:val="24"/>
          <w:szCs w:val="24"/>
        </w:rPr>
        <w:t xml:space="preserve">221.7t.com</w:t>
      </w:r>
      <w:r>
        <w:rPr>
          <w:rFonts w:ascii="Arial" w:cs="Arial" w:eastAsia="Arial" w:hAnsi="Arial"/>
          <w:sz w:val="24"/>
          <w:szCs w:val="24"/>
        </w:rPr>
        <w:t xml:space="preserve"> из остаточной суммы в размере 271,7 сом, составленной на основе доходной части 271,7 сом, расходной части 271,7 сом сметы детских садиков Ак Шоола Нуру Шарк села Шарк и Кун Нуру Шарк села Падаван на 01.01.2012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обязать на постоянную комиссию по вопросам бюджета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chvrkqblk4znuhy48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dalil.kg/document/26732</w:t>
      </w:r>
    </w:hyperlink>
  </w:p>
  <w:p>
    <w:pPr>
      <w:spacing w:after="0" w:before="40"/>
      <w:jc w:val="center"/>
    </w:pPr>
    <w:hyperlink w:history="1" r:id="rIdybrwksdyfnx4ihbhv7m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chvrkqblk4znuhy481v" Type="http://schemas.openxmlformats.org/officeDocument/2006/relationships/hyperlink" Target="https://dalil.kg/document/26732" TargetMode="External"/><Relationship Id="rIdybrwksdyfnx4ihbhv7m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2026-09-24T17:33:13.883Z</dcterms:created>
  <dcterms:modified xsi:type="dcterms:W3CDTF">2026-09-24T17:33:13.883Z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