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ШАРКСКИЙ </w:t>
      </w:r>
      <w:r>
        <w:rPr>
          <w:rFonts w:ascii="Arial" w:cs="Arial" w:eastAsia="Arial" w:hAnsi="Arial"/>
          <w:sz w:val="24"/>
          <w:szCs w:val="24"/>
        </w:rPr>
        <w:t xml:space="preserve">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XXXIII сессии Шаркского айылного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апреля </w:t>
      </w:r>
      <w:r>
        <w:rPr>
          <w:rFonts w:ascii="Arial" w:cs="Arial" w:eastAsia="Arial" w:hAnsi="Arial"/>
          <w:sz w:val="24"/>
          <w:szCs w:val="24"/>
        </w:rPr>
        <w:t xml:space="preserve">2012 г</w:t>
      </w:r>
      <w:r>
        <w:rPr>
          <w:rFonts w:ascii="Arial" w:cs="Arial" w:eastAsia="Arial" w:hAnsi="Arial"/>
          <w:sz w:val="24"/>
          <w:szCs w:val="24"/>
        </w:rPr>
        <w:t xml:space="preserve">ода №11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рассмотрении заявления жителей села Таштак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заявления жителей села Таштак о трудностях связанных с неточностью адреса проживания, а именно безымянной улицы, по причине которого возникают недоразумения при оформлении паспортов, детей в школы и детские сады, аыйлный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имя Абдибали Насирдинова улице новостройки, находящейся на левой стороне дороги «Узген-Ош» (см. приложение).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Письменно обозначить имя Абдибали Насирдинова на улице и пронумеровать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обязанности исполнения данного постановления на руководителя Шаркского айыл окмоту А. Салиева.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Шаркского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Маруфий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ogerkjt-_xnswqacg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dalil.kg/document/26740</w:t>
      </w:r>
    </w:hyperlink>
  </w:p>
  <w:p>
    <w:pPr>
      <w:spacing w:after="0" w:before="40"/>
      <w:jc w:val="center"/>
    </w:pPr>
    <w:hyperlink w:history="1" r:id="rIdh7wukmmfe2oan-ibtvt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ogerkjt-_xnswqacghy" Type="http://schemas.openxmlformats.org/officeDocument/2006/relationships/hyperlink" Target="https://dalil.kg/document/26740" TargetMode="External"/><Relationship Id="rIdh7wukmmfe2oan-ibtvt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2026-09-24T10:10:56.196Z</dcterms:created>
  <dcterms:modified xsi:type="dcterms:W3CDTF">2026-09-24T10:10:56.196Z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