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2008 года</w:t>
      </w:r>
      <w:r>
        <w:rPr>
          <w:rFonts w:ascii="Arial" w:cs="Arial" w:eastAsia="Arial" w:hAnsi="Arial"/>
          <w:sz w:val="24"/>
          <w:szCs w:val="24"/>
        </w:rPr>
        <w:t xml:space="preserve">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зональных коэффициентов и порядка расчета ежемесячной арендной платы на земельные участки, для торговых объектов и хозсубъектов по оказанию услуг на территории города Карабалта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_hlp-d3ttw_lxt6xtv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 и местной государственной администрации»,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jvc_xg9nokk7qboe5d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муниципальной собственности на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порядка предоставления в аренду земельных участков и объектов недвижимости, находящихся в муниципальной собственности и увеличения доходной части городского бюджета, повышения эффективности управления муниципальной собственностью города, и на основании информации начальника финансово-экономического отдела городской Управы -Алымходжаева М.О., в связи с введением нового Налогового Кодекса Кыргызской Республики, сессия Карабалтинского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начальника финансово-экономического отдела -Алымходжаева М.О.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постановление Карабалтинского городского Кенеша № 8 от 26 мая 2008 года «О внесении изменений и дополнений в постановление Карабалтинского городского Кенеша № 3 от 15.02.2006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зональные коэффициенты и прилагаемый Порядок расчета ежемесячной арендной платы на земельные участки, находящиеся в муниципальной собственности, под временные торговые объекты и хозсубъекты по оказанию услуг, а также другие субъекты, ведущие экономическую деятельность на территории города Карабалта согласно </w:t>
      </w:r>
      <w:hyperlink w:history="1" r:id="rIdi_vr_0wxl8rdtcv-xv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Финансово - экономическому отделу городской Управы провести разъяснительную работу с пользователями и арендаторами объектов недвижимости по переходу на новый порядок предоставления в аренду земельных участков и объектов недвижимости, находящихся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постоянную комиссию по бюджету, коммунальной собственности, экономики и финансам и Карабалтинскую городскую Управу.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unr2ijautfmywuvs0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городского Кенеша 
 №10 от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расчета ежегодной арендной платы за земельные участки, предоставляемых в срочное (временное)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в срочное (временное) пользование на условиях аренды расчет арендной платы производить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С * S * К1 * К2 * КЗ * К4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ставка годовой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базовая ставка земельного налога согласно Закона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 - коэффициент, определяемый от месторасположения земельного участка (зоны);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</w:t>
      </w:r>
      <w:r>
        <w:rPr>
          <w:rFonts w:ascii="Arial" w:cs="Arial" w:eastAsia="Arial" w:hAnsi="Arial"/>
          <w:sz w:val="24"/>
          <w:szCs w:val="24"/>
        </w:rPr>
        <w:t xml:space="preserve"> - коэффициент коммерческого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- коэффициент, определяемый в зависимости от сроков предоставления земельного участка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К4</w:t>
      </w:r>
      <w:r>
        <w:rPr>
          <w:rFonts w:ascii="Arial" w:cs="Arial" w:eastAsia="Arial" w:hAnsi="Arial"/>
          <w:sz w:val="24"/>
          <w:szCs w:val="24"/>
        </w:rPr>
        <w:t xml:space="preserve"> - коэффициент, определяемый от общей площади предоставляемого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Коэффициент, определяемый от месторасположения земельного участка К1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Первая зона с коэффициентом К1 =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объектов, имеющих юридические адреса в зоне, границы которой определяются следующими улицами: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запада - ул. Владимирова до ул. Ж.Баатыра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Ломоносова до ул. Комсомольская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Владимирова до ул.К.Маркса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ул.К.Маркса до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севера - ул. Ж.Баатыра до ул. Ломоносова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Комсомольская до ул. 8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востока - ул. 8 Марта до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Октябрская до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Октябрская до ул. Гвардейская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Космонавтов до ул. Коммунистическая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юга   - ул. Коммунистическая -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Коммунистическая - ул. Космонавтов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Вторая зона с коэффициентом К1 =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объектов, имеющих юридические адреса в зоне, границы которой определяются следующими улицами: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запада - ул. Калинина до ул. 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кв. Западный - ул. Владимирова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Фрунзенская - ул. 8 Марта - Ж.Баатыра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Космонавтов до ул. Мичурина и до ул. Гвардейская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Октябрская до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севера - ул. 8 Марта - ул. Ж.Баатыра - ул. Советская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Космонавтов - ул. Гвардейская - ул. Мичурина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Владимирова - ул. К.Маркса -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востока - ул. Ж.Баатыра - ул. Советская -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П.Тольятти - ул . 40 лет Киргизии - ул. Мичурина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Калинина до ул. 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юга     - ул. 8 Марта - ул. Фрунзенская - ул. Советская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-ул. Мичурина - ул. 40 лет Киргизии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Владимирова - кв. Западный -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Третья зона с коэффициентом К1 =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объектов, имеющих юридические адреса в зоне, границы которой не обозначены в зоне 1 и в зоне 2 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коммерческого использования К2 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мини-рынки, рынки, торгово-рыночные комплексы - 7,5; -- 2. торговые павильоны, киоски, ларьки - 6; 3^ скотные и фуражные рынки - 4,5;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предприятия общественного питания - 3;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предприятия гостиничной деятельности - 7;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банки, ломбарды, обменные пункты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предприятия игорной деятельности и дискотеки - 7;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офисы, бизнес центры, биржи - 2,5;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автозаправочные станции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нефтебазы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.автостоянки, предприятия автосервиса - 4,5;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предприятия сферы отдыха и развлечений, спортивно-оздоровительных услуг, предоставления индивидуальных услуг - 1,5;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административные здания предприятий транспорта: аэровокзалы, автовокзалы, автостанции, железнодорожные вокзалы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разрабатываемые месторождения, карьеры, шахты, разрезы, золото отвалы - 0,05;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сельскохозяйственные производственные здания (гаражи, ремонтные мастерские, зерно токи, зерноочистительные комплексы, овощекартофелехранилища, строительные и хозяйственные дворы и другие объекты сельскохозяйственного назначения). - 0.2;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Коэффициент, определяемый в зависимости от сроков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земельного участка КЗ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3 - при сроках землепользования до 5 лет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4 - при сроках землепользования от 5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земельного участка в долгосрочную аренду (до 50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3 - при сроках землепользования первые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4 - при землепользовании от 5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2 - при землепользовании от 25 до 50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Коэффициент, определяемый от общей площади предоставляемого земельного участка К4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2,2 - до 6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2,0 – от 6,1 до 12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1,8 – от 12,1 до 20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1,6 – от 20,1 до 35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1,4 – от  35,1 до 50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К4= 1,2 – от 50,1 кв. до 100 кв. м.;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1,1 – от 100 кв. м 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098icph9u6qg6njhk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dalil.kg/document/28338</w:t>
      </w:r>
    </w:hyperlink>
  </w:p>
  <w:p>
    <w:pPr>
      <w:spacing w:after="0" w:before="40"/>
      <w:jc w:val="center"/>
    </w:pPr>
    <w:hyperlink w:history="1" r:id="rIdlfnbo6355u8hn2-agt6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lp-d3ttw_lxt6xtvhby" Type="http://schemas.openxmlformats.org/officeDocument/2006/relationships/hyperlink" Target="https://dalil.kg/document/202310" TargetMode="External"/><Relationship Id="rIdijvc_xg9nokk7qboe5d7b" Type="http://schemas.openxmlformats.org/officeDocument/2006/relationships/hyperlink" Target="https://dalil.kg/document/992" TargetMode="External"/><Relationship Id="rIdi_vr_0wxl8rdtcv-xvflx" Type="http://schemas.openxmlformats.org/officeDocument/2006/relationships/hyperlink" Target="https://dalil.kg/document/28338#p" TargetMode="External"/><Relationship Id="rIdeunr2ijautfmywuvs03ur" Type="http://schemas.openxmlformats.org/officeDocument/2006/relationships/hyperlink" Target="https://dalil.kg/document/28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098icph9u6qg6njhkud" Type="http://schemas.openxmlformats.org/officeDocument/2006/relationships/hyperlink" Target="https://dalil.kg/document/28338" TargetMode="External"/><Relationship Id="rIdlfnbo6355u8hn2-agt6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2026-10-04T07:32:40.428Z</dcterms:created>
  <dcterms:modified xsi:type="dcterms:W3CDTF">2026-10-04T07:32:40.428Z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