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августа 2006 года. Регистрационный номер 85-06                                                     Утверждено                                             </w:t>
      </w:r>
      <w:hyperlink w:history="1" r:id="rIdletxjkp3lkpzurnpvxo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 19/2                                ПОЛОЖЕНИЕ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Республики"(В редакции постановления Правления Нацбанка КР от </w:t>
      </w:r>
      <w:hyperlink w:history="1" r:id="rIdgp4iwyarz7lf5n09-k0lv">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 Общие положения      1.1. Настоящий нормативный акт разработан в соответствии с Закона-ми Кыргызской Республики </w:t>
      </w:r>
      <w:hyperlink w:history="1" r:id="rIdgk66o-x0b0rsclrreel6e">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w:t>
      </w:r>
      <w:hyperlink w:history="1" r:id="rId_rn1xwx1fndqpbxuwliq8">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Положениераспространяется на коммерческие  банки Государственный банк развития Кыргызской Республики (далее - банки).(В редакции постановления Правления Нацбанка КР от </w:t>
      </w:r>
      <w:hyperlink w:history="1" r:id="rIdpz4q0hvbhzm3ppnvstg4k">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1.2. Положение  определяет основные элементы и принципы управлениярыночным риском в соответствии со стандартами благоразумной  банковскойпрактики и является дополнительным руководством для банков по минималь-ным требованиям к системе управления рисками (см. </w:t>
      </w:r>
      <w:hyperlink w:history="1" r:id="rIdmd1heqxz25qnfpifpwihk">
        <w:r>
          <w:rPr>
            <w:rFonts w:ascii="Arial" w:cs="Arial" w:eastAsia="Arial" w:hAnsi="Arial"/>
            <w:color w:val="1D4ED8"/>
            <w:sz w:val="24"/>
            <w:szCs w:val="24"/>
            <w:u w:val="single"/>
          </w:rPr>
          <w:t xml:space="preserve">примечание 1</w:t>
        </w:r>
      </w:hyperlink>
      <w:r>
        <w:rPr>
          <w:rFonts w:ascii="Arial" w:cs="Arial" w:eastAsia="Arial" w:hAnsi="Arial"/>
          <w:sz w:val="24"/>
          <w:szCs w:val="24"/>
        </w:rPr>
        <w:t xml:space="preserve">).                     2. Определение рыночного риска      2.1. Рыночный риск - это риск потерь,  которому подвержен  банк  вслучае  неблагоприятных  изменений  стоимости балансовых и забалансовыхактивов и обязательств банка в результате изменения рыночных процентныхставок, обменных курсов, цен на акции и/или товары. Существует несколь-ко видов рыночного риска,  включая  риск  процентной  ставки,  валютныйриск, ценовой риск.     2.2. Риск процентной ставки - это риск потерь, которому подверженыкапитал  и  доходность  банка  вследствие изменения рыночных процентныхставок. Различают несколько видов риска процентной ставки, в том числе:     2.2.1. Риск  переоценки - это результат разницы между временем из-менения процентной ставки и временем движения денежных потоков, которыевозникают  при  оценке и установлении сроков погашения банковских акти-вов,  обязательства и забалансовых статей.  Данный риск возникает из-заразличий  в  сроках  наступления платежей по активам и обязательствам сфиксированной процентной ставкой и переоценки активов и обязательств  сплавающей процентной ставкой (см. </w:t>
      </w:r>
      <w:hyperlink w:history="1" r:id="rIdjo8vfhisbcrdx6pndoojq">
        <w:r>
          <w:rPr>
            <w:rFonts w:ascii="Arial" w:cs="Arial" w:eastAsia="Arial" w:hAnsi="Arial"/>
            <w:color w:val="1D4ED8"/>
            <w:sz w:val="24"/>
            <w:szCs w:val="24"/>
            <w:u w:val="single"/>
          </w:rPr>
          <w:t xml:space="preserve">примечание 2</w:t>
        </w:r>
      </w:hyperlink>
      <w:r>
        <w:rPr>
          <w:rFonts w:ascii="Arial" w:cs="Arial" w:eastAsia="Arial" w:hAnsi="Arial"/>
          <w:sz w:val="24"/>
          <w:szCs w:val="24"/>
        </w:rPr>
        <w:t xml:space="preserve">).     2.2.2. Базисный риск - это результат изменений  в  отношении  про-центных  ставок  на различных финансовых рынках.  Данный риск возникаетпри слабой корреляции изменений процентных ставок по активам  и  обяза-тельствам, которые переоцениваются в зависимости от колебаний различныхиндексов и/или изменений на различных финансовых рынках (см. </w:t>
      </w:r>
      <w:hyperlink w:history="1" r:id="rId-fh0ptazg2yekgmrtcaaw">
        <w:r>
          <w:rPr>
            <w:rFonts w:ascii="Arial" w:cs="Arial" w:eastAsia="Arial" w:hAnsi="Arial"/>
            <w:color w:val="1D4ED8"/>
            <w:sz w:val="24"/>
            <w:szCs w:val="24"/>
            <w:u w:val="single"/>
          </w:rPr>
          <w:t xml:space="preserve">примечание</w:t>
        </w:r>
      </w:hyperlink>
      <w:hyperlink w:history="1" r:id="rIdxgnevwjqhr8f_5epwxlfi">
        <w:r>
          <w:rPr>
            <w:rFonts w:ascii="Arial" w:cs="Arial" w:eastAsia="Arial" w:hAnsi="Arial"/>
            <w:color w:val="1D4ED8"/>
            <w:sz w:val="24"/>
            <w:szCs w:val="24"/>
            <w:u w:val="single"/>
          </w:rPr>
          <w:t xml:space="preserve">3</w:t>
        </w:r>
      </w:hyperlink>
      <w:r>
        <w:rPr>
          <w:rFonts w:ascii="Arial" w:cs="Arial" w:eastAsia="Arial" w:hAnsi="Arial"/>
          <w:sz w:val="24"/>
          <w:szCs w:val="24"/>
        </w:rPr>
        <w:t xml:space="preserve">).     2.2.3. Опционный риск - это риск, возникающий в случае, когда кли-ент  банка  имеет право,  но не обязательство,  изменить объем или срокдвижения денежных потоков по активам или обязательствам. Это заставляетбанк  переоценивать эти активы и обязательства по текущим рыночным про-центным ставкам,  которые могут быть неблагоприятны для банка (см. </w:t>
      </w:r>
      <w:hyperlink w:history="1" r:id="rId83jfavegqiwkgdpqrmtrb">
        <w:r>
          <w:rPr>
            <w:rFonts w:ascii="Arial" w:cs="Arial" w:eastAsia="Arial" w:hAnsi="Arial"/>
            <w:color w:val="1D4ED8"/>
            <w:sz w:val="24"/>
            <w:szCs w:val="24"/>
            <w:u w:val="single"/>
          </w:rPr>
          <w:t xml:space="preserve">при-</w:t>
        </w:r>
      </w:hyperlink>
      <w:hyperlink w:history="1" r:id="rIdziv5kq2wtuiothnh7-lmj">
        <w:r>
          <w:rPr>
            <w:rFonts w:ascii="Arial" w:cs="Arial" w:eastAsia="Arial" w:hAnsi="Arial"/>
            <w:color w:val="1D4ED8"/>
            <w:sz w:val="24"/>
            <w:szCs w:val="24"/>
            <w:u w:val="single"/>
          </w:rPr>
          <w:t xml:space="preserve">мечание 4</w:t>
        </w:r>
      </w:hyperlink>
      <w:r>
        <w:rPr>
          <w:rFonts w:ascii="Arial" w:cs="Arial" w:eastAsia="Arial" w:hAnsi="Arial"/>
          <w:sz w:val="24"/>
          <w:szCs w:val="24"/>
        </w:rPr>
        <w:t xml:space="preserve">).     2.3. Валютный риск - это риск  возникновения  расходов  (убытков),связанных с изменением курсов иностранных валют, при осуществлении бан-ком своей деятельности и при наличии открытой позиции  по  определеннойвалюте. При проведении валютных операций могут возникнуть следующие ви-ды рисков, в том числе:     2.3.1. Кредитный риск - это риск невыполнения заемщиком своих обя-зательств в соответствии со сроками и условиями договора (см.  </w:t>
      </w:r>
      <w:hyperlink w:history="1" r:id="rId5z62t3d93ef2cszfdpydd">
        <w:r>
          <w:rPr>
            <w:rFonts w:ascii="Arial" w:cs="Arial" w:eastAsia="Arial" w:hAnsi="Arial"/>
            <w:color w:val="1D4ED8"/>
            <w:sz w:val="24"/>
            <w:szCs w:val="24"/>
            <w:u w:val="single"/>
          </w:rPr>
          <w:t xml:space="preserve">примеча-</w:t>
        </w:r>
      </w:hyperlink>
      <w:hyperlink w:history="1" r:id="rId2ws9rkvqym1lnytne2qvg">
        <w:r>
          <w:rPr>
            <w:rFonts w:ascii="Arial" w:cs="Arial" w:eastAsia="Arial" w:hAnsi="Arial"/>
            <w:color w:val="1D4ED8"/>
            <w:sz w:val="24"/>
            <w:szCs w:val="24"/>
            <w:u w:val="single"/>
          </w:rPr>
          <w:t xml:space="preserve">ние 5</w:t>
        </w:r>
      </w:hyperlink>
      <w:r>
        <w:rPr>
          <w:rFonts w:ascii="Arial" w:cs="Arial" w:eastAsia="Arial" w:hAnsi="Arial"/>
          <w:sz w:val="24"/>
          <w:szCs w:val="24"/>
        </w:rPr>
        <w:t xml:space="preserve">).     2.3.2. Платежный риск - это риск, который возникает при перечисле-нии  проданной  валюты еще до того,  как банк получил купленную валюту.Риск начинается с того времени,  когда договор  о  продаже  валюты  уженельзя отменить в одностороннем порядке,  и существует до тех пор, покакупленная валюта не будет получена.     2.3.3. Риск ликвидности - это риск,  возникающий, когда значитель-ные колебания обменного курса  или  события  внутри  страны,  например,ужесточение валютного регулирования, могут ограничить доступ к валютнымсредствам.  Банки,  которые ведут деятельность во многих видах  валюты,должны  предусмотреть меры по поддержанию ликвидности в иностранной ва-люте в общей стратегии управления ликвидностью.     2.3.4. Страновой  риск  - это риск возникновения потерь вследствиеизменения экономических,  социальных и политических условий и событий виностранных государствах,  в том числе в их деятельности по международ-ному кредитованию и иностранным инвестициям.     2.4. Ценовой  риск  -  это риск потерь,  которому подвержен банк вслучае неблагоприятных изменений в стоимости финансовых инструментов  идругих инвестиций или активов,  принадлежащих банку (на балансе или за-балансом) в результате изменения рыночных цен.                3. Организация управления рыночным риском      3.1. Управление рыночным риском должно  соответствовать  масштабамдеятельности  и  уровню  рыночного риска,  принимаемого на себя банком.Банк должен принимать меры для снижения рыночного риска,  связанного  сосуществлением своих операций.     3.2. Банкам рекомендуется поддерживать такой размер капитала,  ко-торый должен быть достаточным для покрытия убытков,  связанных с рыноч-ным риском.     3.3. В целях управления рыночным риском банк должен иметь политикии внутренние процедуры,  определяющие меры контроля за уровнем риска  иего влиянием на доходность и капитал банка.     3.4. Политика по управлению рыночным риском,  утвержденная Советомдиректоров банка,  должна учитывать уровень и сложность риска, которомуподвержен банк, и охватывать те виды рыночного риска, которые связаны сдеятельностью банка.  Если банк принимает решение хеджировать риски, тов политике по управлению рыночным риском должны быть определены  методыи критерии хеджирования рисков,  включающие,  в том числе, критерии эф-фективности (оптимальности) и стоимости хеджирования.     3.5. Совет директоров банка должен ежегодно пересматривать полити-ку по управлению рыночным риском для того, чтобы обеспечить ее актуаль-ность  и  соответствие  масштабам деятельности и уровню рыночного рискабанка.  Совет директоров банка должен контролировать деятельность Прав-ления по обеспечению эффективного процесса управления рыночным риском.     3.6. Банк должен организовать надежную систему отчетности по оцен-ке и анализу объема и природы потенциальных убытков, связанных с рыноч-ным риском.  Система отчетности должна охватывать анализ  потенциальныхубытков по всем операциям банка.  Отчетность по текущему анализу рыноч-ного риска должна представляться на рассмотрение Совета директоров бан-ка. Периодичность предоставления отчетности определяется Советом дирек-торов банка.     3.7. Совет директоров и Правление банка должны обеспечить адекват-ный внутренний контроль, который, как минимум, предполагает контроль:     - за  соблюдением  требований и процедур,  установленных политикойбанка по управлению рыночным риском и внутренними  документами,  регла-ментирующими процесс оценки рыночного риска;     - за соблюдением установленных лимитов;     - за  соблюдением  принципа разграничения полномочий,  порядка ут-верждения и подотчетности по осуществляемым операциям и предоставляемымуслугам;     3.8. Правление банка несет ответственность за  выявление,  измере-ние,  осуществление мониторинга и контроля за рыночным риском, которомуподвержен банк.     3.9. Правление банка должно обеспечить обучение и повышение квали-фикации персонала,  необходимые  для  мониторинга  фактического  уровнясложности рыночной деятельности банка.     3.10. Неспособность создать адекватные системы управления рыночнымриском  может  представлять  собой нездоровую и небезопасную банковскуюпрактику и привести к тому, что НБКР будет требовать от банка прекраще-ния данных видов деятельности.           4. Требования к управлению риском процентной ставки      4.1. Политика по управлению риском процентной ставки,  которая мо-жет быть составной частью политики по управлению рыночным  риском,  какминимум, должна содержать:     - описание процесса оценки риска процентной ставки,  который такжепредусматривает определение лимитов по риску процентной ставки при про-ведении банковских и торговых операций.  Данные лимиты учитываются  приуправлении активами и обязательствами банка;     - четкое определение полномочий и ответственности Правления  банкаи/или  соответствующего органа,  назначенного Советом директоров банка,за принятие решений по управлению  риском  процентной  ставки,  включаяодобрение соответствующих лимитов;     - разграничение полномочий и ответственности структурных подразде-лений/сотрудников банка по реализации политики и процедур по управлениюриском процентной ставки.  Лица, ответственные за мониторинг и контрольриска,  должны  быть независимы от лиц,  выполняющих операции,  несущиериск процентных ставок;     - требования к управленческой информационной системе (УИС),  соби-рающей данные о рисках процентной ставки по всем направлениям  деятель-ности банка.  УИС должна обеспечить своевременное предоставление инфор-мации для Правления и Совета директоров банка об уровне риска  процент-ной ставки;     - требования к отчетности банка,  которая должна включать информа-цию,  достаточную  для своевременного принятия управленческих решений иосуществления контроля Советом директоров.     4.2. Методы  измерения риска процентной ставки могут различаться взависимости от природы и сложности риска,  возникающего в  деятельностибанка.  Банки могут применять разные методы,  но,  как минимум,  должныпроводить гэп-анализ и </w:t>
      </w:r>
      <w:hyperlink w:history="1" r:id="rId1kwg5aybiylko2f-lgald">
        <w:r>
          <w:rPr>
            <w:rFonts w:ascii="Arial" w:cs="Arial" w:eastAsia="Arial" w:hAnsi="Arial"/>
            <w:color w:val="1D4ED8"/>
            <w:sz w:val="24"/>
            <w:szCs w:val="24"/>
            <w:u w:val="single"/>
          </w:rPr>
          <w:t xml:space="preserve">стресс-тестирование</w:t>
        </w:r>
      </w:hyperlink>
      <w:r>
        <w:rPr>
          <w:rFonts w:ascii="Arial" w:cs="Arial" w:eastAsia="Arial" w:hAnsi="Arial"/>
          <w:sz w:val="24"/>
          <w:szCs w:val="24"/>
        </w:rPr>
        <w:t xml:space="preserve"> (приложение 1).     4.2.1. Гэп-анализ используется для измерения разницы между актива-ми и обязательствами,  чувствительными к изменению процентных ставок, вданный период времени.     4.2.3. Основной задачей стресс-тестирования является оценка  чувс-твительности баланса банка к влиянию банковских рисков,  а также оценкаспособности капитала банка компенсировать возможные крупные убытки  приразличных сценариях дальнейшего развития событий.               5. Требования к управлению валютным риском      5.1. Политика  по  управлению валютным риском,  которая может бытьсоставной частью политики по управлению рыночным  риском,  должна,  какминимум, содержать:     - описание процесса оценки валютного риска,  который также предус-матривает  определение  лимитов  по валютному риску при проведении бан-ковских и торговых операций,  включая лимиты по валютному риску,  уста-новленные НБКР;     - виды операций в иностранной валюте,  которые  банк  намереваетсяосуществлять,  а также операции в иностранной валюте, запрещенные Сове-том директоров банка;     - четкое  определение полномочий и ответственности Правления банказа принятие решений по управлению валютным  риском,  включая  одобрениеиндивидуальных лимитов для дилеров и лимитов по открытым валютным пози-циям, лимитов на суммы индивидуальных контрактов и лимитов по индивиду-альным контрагентам;     - требования к управленческой информационной системе (УИС), позво-ляющей  немедленно  заносить  в учет валютные операции и определять каксуммарную валютную позицию банка,  так и позиции по  каждой  валюте  напостоянной основе в режиме реального времени;     - четкое разделение ответственности между структурными подразделе-ниями,  осуществляющими работу с клиентами (фронт-офис),  учет операций(бэк-офис);     - требования к отчетности банка,  которая должна включать информа-цию,  достаточную для своевременного принятия управленческих решений  иосуществления контроля Советом директоров.     5.2. Методы управления валютным риском могут различаться в зависи-мости от природы и сложности риска,  возникающего в деятельности банка.Оценка риска должна включать, как минимум:     5.2.1. Измерение валютного риска банка,  в том числе расчет откры-той валютной позиции (см. </w:t>
      </w:r>
      <w:hyperlink w:history="1" r:id="rIdrdstvofyyn0meh6pyhj-a">
        <w:r>
          <w:rPr>
            <w:rFonts w:ascii="Arial" w:cs="Arial" w:eastAsia="Arial" w:hAnsi="Arial"/>
            <w:color w:val="1D4ED8"/>
            <w:sz w:val="24"/>
            <w:szCs w:val="24"/>
            <w:u w:val="single"/>
          </w:rPr>
          <w:t xml:space="preserve">примечание 6</w:t>
        </w:r>
      </w:hyperlink>
      <w:r>
        <w:rPr>
          <w:rFonts w:ascii="Arial" w:cs="Arial" w:eastAsia="Arial" w:hAnsi="Arial"/>
          <w:sz w:val="24"/>
          <w:szCs w:val="24"/>
        </w:rPr>
        <w:t xml:space="preserve">).     5.2.2. Учет  валютного риска при управлении ликвидностью банка.  Вчастности,  при использовании банком национальной или другой валюты дляпокупки третьей валюты, валютная ликвидность должна измеряться и тести-роваться с помощью стресс-тестирования и во взаимосвязи с  ликвидностьюнациональной валюты банка.     5.2.3. Оценку влияния колебаний валютных  курсов  на  банк.  Банкидолжны  использовать  стресс-тестирование для определения потенциальныхвалютных убытков при чрезвычайных  ситуациях.  При  этом  рекомендуетсярассматривать влияние на капитал банка исторических экстремальных коле-баний курсов валют, а также моделировать реалистичные, но экстремальныесценарии,  позволяющие определить устойчивость банка в условиях различ-ных уровней риска.                   6. Требования по управлению риском                    изменения цен на акции и товары      6.1. Риск  изменения цен на акции и товары возникает при неблагоп-риятных изменениях цен на акции или драгоценные металлы,  принадлежащиебанку.     6.2. Торговля акциями и финансовое участие в акционерном  капиталеподвергают банк ценовому риску,  поскольку изменения курсов акций могутнеблагоприятно повлиять на доходность и капитал банка.     6.3. Банк  может  осуществлять  операции  с драгоценными металламитолько на основании дополнительной лицензии,  выданной в соответствии стребованиями, установленными НБКР.     6.4. Управление риском изменения цен на драгоценные металлы  можетбыть аналогичным управлению валютным риском, учитывая схожесть валютно-го рынка и рынка драгоценных металлов.     6.5. Банки,  осуществляющие данные виды деятельности,  должны соз-дать соответствующие системы контроля рисков,  которые должны соответс-твовать требованиям, установленным в настоящем Положении.     6.6. Совет директоров и Правление банка несут  ответственность  засвоевременное  выявление,  оценку,  мониторинг  и контроль за рисками вторговой деятельности.  Правление банка должно проводить тщательный мо-ниторинг  всех инвестиций в долевые ценные бумаги,  регулярно проводитьоценку подверженности банка рыночному риску,  включая ценовой  риск,  исвоевременно предоставлять отчеты Совету директоров.          7. Раскрытие информации по управлению рыночным риском      7.1. Банк должен раскрывать информацию по обеспечению мер, снижаю-щих рыночный риск,  в рамках годового отчета банка. Объем раскрытия ин-формации  должен  соответствовать степени и уровню подверженности банкарыночному риску.      Примечания:</w:t>
      </w:r>
      <w:r>
        <w:rPr>
          <w:rFonts w:ascii="Arial" w:cs="Arial" w:eastAsia="Arial" w:hAnsi="Arial"/>
          <w:sz w:val="24"/>
          <w:szCs w:val="24"/>
        </w:rPr>
        <w:t xml:space="preserve">     (1) - В соответствии с </w:t>
      </w:r>
      <w:hyperlink w:history="1" r:id="rIdauwcia8nmnmdwwa5xcxu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минимальных  требованиях  поуправлению рисками в банках Кыргызской Республики", утвержденным </w:t>
      </w:r>
      <w:hyperlink w:history="1" r:id="rIdu_w2bvpwckk9wfei7nflr">
        <w:r>
          <w:rPr>
            <w:rFonts w:ascii="Arial" w:cs="Arial" w:eastAsia="Arial" w:hAnsi="Arial"/>
            <w:color w:val="1D4ED8"/>
            <w:sz w:val="24"/>
            <w:szCs w:val="24"/>
            <w:u w:val="single"/>
          </w:rPr>
          <w:t xml:space="preserve">поста-</w:t>
        </w:r>
      </w:hyperlink>
      <w:hyperlink w:history="1" r:id="rIdoddai6zwmgjehro4dylct">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Правления НБКР N 36/10 от 29 декабря 2004 года (регистрацион-ный номер МЮ КР N 18-05 от 4 февраля 2005 года).</w:t>
      </w:r>
      <w:r>
        <w:rPr>
          <w:rFonts w:ascii="Arial" w:cs="Arial" w:eastAsia="Arial" w:hAnsi="Arial"/>
          <w:sz w:val="24"/>
          <w:szCs w:val="24"/>
        </w:rPr>
        <w:t xml:space="preserve">     (2) - Например, банк, выдавший долгосрочный кредит с фиксированнойпроцентной ставкой,  и имеющий краткосрочный депозит, может столкнутьсяс уменьшением будущего дохода, возникающего в результате увеличения ры-ночной  процентной ставки.  Денежные средства,  поступающие от кредита,являются фиксированными в течение всего срока, в то время как проценты,выплачиваемые по краткосрочным привлечениям, увеличиваются, что отрица-тельно влияет на доход банка.</w:t>
      </w:r>
      <w:r>
        <w:rPr>
          <w:rFonts w:ascii="Arial" w:cs="Arial" w:eastAsia="Arial" w:hAnsi="Arial"/>
          <w:sz w:val="24"/>
          <w:szCs w:val="24"/>
        </w:rPr>
        <w:t xml:space="preserve">     (3) - Например, банк покупает на рынке долговое обязательство, ко-торое переоценивается в соответствии с индексом  LIBOR,  и  финансируетэту покупку депозитом,  процентная ставка по которому переоценивается всоответствии с изменениями процентной ставки по ГКВ. В этом случае воз-никает  базисный риск,  т.к.  переоценка данных финансовых инструментовзависит от различных факторов (индекс  LIBOR  и  процентная  ставка  поГКВ).</w:t>
      </w:r>
      <w:r>
        <w:rPr>
          <w:rFonts w:ascii="Arial" w:cs="Arial" w:eastAsia="Arial" w:hAnsi="Arial"/>
          <w:sz w:val="24"/>
          <w:szCs w:val="24"/>
        </w:rPr>
        <w:t xml:space="preserve">     (4) - Примером может служить погашение кредита раньше срока,  пре-дусмотренного кредитным договором, или досрочное изъятие депозита.</w:t>
      </w:r>
      <w:r>
        <w:rPr>
          <w:rFonts w:ascii="Arial" w:cs="Arial" w:eastAsia="Arial" w:hAnsi="Arial"/>
          <w:sz w:val="24"/>
          <w:szCs w:val="24"/>
        </w:rPr>
        <w:t xml:space="preserve">     (5) - Примером может служить кредитование заемщика  в  иностраннойвалюте. В случае девальвации национальной валюты стоимость обслуживаниякредита в иностранной валюте может значительно  увеличиться  и  отрица-тельно  повлиять  на способность заемщика вернуть кредит.  Это,  в своюочередь,  подвергает банк валютному риску при  исполнении  им  валютныхобязательств.</w:t>
      </w:r>
      <w:r>
        <w:rPr>
          <w:rFonts w:ascii="Arial" w:cs="Arial" w:eastAsia="Arial" w:hAnsi="Arial"/>
          <w:sz w:val="24"/>
          <w:szCs w:val="24"/>
        </w:rPr>
        <w:t xml:space="preserve">     (6) - В соответствии с </w:t>
      </w:r>
      <w:hyperlink w:history="1" r:id="rIdcwjlisyniktzgpb-9s-ka">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соблюдения  лимитовоткрытой  валютной позиции коммерческими банками на территории Кыргызс-кой Республики" (утв.  </w:t>
      </w:r>
      <w:hyperlink w:history="1" r:id="rIdayco6vqvkngdsi599zecx">
        <w:r>
          <w:rPr>
            <w:rFonts w:ascii="Arial" w:cs="Arial" w:eastAsia="Arial" w:hAnsi="Arial"/>
            <w:color w:val="1D4ED8"/>
            <w:sz w:val="24"/>
            <w:szCs w:val="24"/>
            <w:u w:val="single"/>
          </w:rPr>
          <w:t xml:space="preserve">пост</w:t>
        </w:r>
      </w:hyperlink>
      <w:r>
        <w:rPr>
          <w:rFonts w:ascii="Arial" w:cs="Arial" w:eastAsia="Arial" w:hAnsi="Arial"/>
          <w:sz w:val="24"/>
          <w:szCs w:val="24"/>
        </w:rPr>
        <w:t xml:space="preserve">.  Правления НБКР N 36/13 от 29 декабря 2004года, регистрационный номер МЮ КР 16-05 от 1.02.05 г.).    </w:t>
      </w:r>
      <w:r>
        <w:rPr>
          <w:rFonts w:ascii="Arial" w:cs="Arial" w:eastAsia="Arial" w:hAnsi="Arial"/>
          <w:sz w:val="24"/>
          <w:szCs w:val="24"/>
        </w:rPr>
        <w:t xml:space="preserve">                                             Приложение 1                                         к Положению о минимальных                                         требованиях по управлению                                      рыночным риском в коммерческих                                    банках и других финансово-кредитных                                        учреждениях, лицензируемых                                            Национальным банком                                           Кыргызской Республики      1. Гэп-анализ     2. Стресс-тестирование                              1. Гэп-анализ      Гэп-анализ, или  составление отчета о чувствительности к изменениюпроцентной ставки,  является самым распространенным инструментом оценкириска  процентной  ставки.  Данный отчет классифицирует счета активов иобязательств (как на балансе,  так и за балансом) в зависимости от вре-мени, оставшегося до проведения переоценки в отдельные периоды времени.Используемые периоды времени варьируются в зависимости от практики бан-ка,  но обычно включают: овернайт, от 1 дня - 1 месяца, от 1-3 месяцев,от 3-6 месяцев,  от 6 месяцев - 1 года, от 1-2 лет, от 2-5 лет, и свыше5 лет.     При проведении гэп-анализа все банковские активы,  обязательства изабалансовые  инструменты помещают во временные диапазоны,  основываясьна следующей дате переоценки или погашения инструмента.  Затем остатки,имеющиеся по временным диапазонам,  суммируются (суммы по активам пока-зываются со знаком плюс и суммы по обязательствам показываются со  зна-ком минус) для определения чистой гэп-позиции по каждому временному ди-апазону. Оценка риска производится по размеру гэпа (сумма чистой разни-цы в течение временного диапазона) и продолжительности времени, в тече-ние которого открыта гэп-позиция. Используя гэп-отчеты, банк может выя-вить и произвести оценку краткосрочных и долгосрочных разниц, возникаю-щих от переоценки.  Имея такую информацию,  банк может оценить свою до-ходность  и  экономические  риски  в пределах определенных ограничений.Гэп-анализ может,  в частности,  применяться для выявления риска перео-ценки текущей структуры банковского баланса до того,  как будут принятырешения о новом виде деятельности или о том,  как эффективно реинвести-ровать суммы, по которым наступает срок погашения.     Если банк осуществляет значительный объем деятельности в иностран-ных валютах, он должен проводить отдельный гэп-анализ по каждой валюте,потому что процентные ставки на активы и  обязательства  в  иностраннойвалюте могут колебаться в различных направлениях,  а изменчивость такихпроцентных ставок также может существенно отличаться от тенденций коле-баний процентных ставок по активам и обязательствам в сомах.     Счета без указанных сроков погашения или дат переоценки,  или сче-та,  не  приносящие процентный доход (например,  расчетные счета) могутказаться нечувствительными к процентной ставке. Тем не менее, некоторыеиз этих счетов могут быть чрезвычайно чувствительными к изменениям про-центных ставок. Например, при повышении рыночных процентных ставок, от-дельные  клиенты могут перевести свои деньги на счета,  приносящие про-центный доход или просто уйти из банка  в  поисках  высоких  процентныхставок. С другой стороны, когда рыночные процентные ставки низкие, кли-енты могут  принять  решение о нецелесообразности перевода денег. Болеетого, некоторые расчетные счета могут подвергаться сезонным колебаниям,например, средства фермеров, предприятий переработки сельскохозяйствен-ной продукции, или предприятий, связанных с туризмом.     Таким образом,  важно, чтобы менеджмент банка тщательно анализиро-вал клиентскую базу для составления предположений относительно динамикидепозитной базы.     За каждый  период времени переоцениваемые обязательства вычитаютсяиз переоцениваемых активов для получения переоцениваемого  несовпаденияили гэпа. Если больше производится переоценка активов, чем обязательствв установленном периоде (положительный гэп),  доходы повышаются по мереповышения процентных ставок. В случае отрицательного гэпа, доходы будутснижаться по мере повышения процентных ставок (поскольку  будут  большепереоцениваться обязательства, чем активы).     Например, кредит на сумму 500,000 сом с  фиксированной  процентнойставкой,  срок погашения которого наступает через 12 месяцев и финанси-руемый 30 дневными  депозитами  создаст  отрицательный  гэп  в  размере500,000  сом с 1 дня в течение всех 12 месяцев до наступления срока по-гашения кредита. Если в 1 день процентные ставки повысятся на один про-центный пункт,  и будут сохраняться на данном новом уровне, чистый про-центный доход снизится на 5,000 сом (500,000 х 1%).     Вышеуказанный пример предполагает ситуацию,  при которой, несмотряна ежемесячный отрицательный гэп,  изменение процентных ставок незначи-тельно отражается на доходности банка. Тем не менее, банк подвержен из-менениям процентной ставки в течение одного  года  (чувствительность  врамках периода).  Поэтому важно, чтобы при оценке банковской подвержен-ности риску процентной ставки  руководство  банка  использовало  большевременных рамок, в особенности, в течение одного года.     Установление лимитов на абсолютный размер конкретного гэпа или со-отношения  гэпа  к доходоприносящим активам (или капиталу) является об-щепринятым средством ограничения общей подверженности риску. Банк заин-тересован предусмотреть лимиты,  ограничивающие уязвимость чистого про-центного дохода в результате изменений в процентных ставках. Как прави-ло,  Правление банка по согласованию с Советом директоров устанавливаетлимиты риска,  которые банк готов принять (например, 15% от размера ка-питала или 10%-30% от размера чистого процентного дохода).     Гэп-анализ является  базовой  мерой   риска   процентной   ставки.Гэп-анализ имеет несколько преимуществ, в частности:     - не требует сложной технологии;     - может быть относительно простым для разработки и использования;     - может предоставлять четкие, легко интерпретируемые результаты.     При этом данному методу присущи некоторые недостатки, в частности:     - в целом отражает только риск переоценки;     - не отражает базисный риск;     - предполагает,  что текущий баланс остается постоянным в  течениевремени.                         2. Стресс-тестирование      Стресс-тестирование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про-центных ставок,  валютного курса, изменения в законодательстве и т.п.),так и в деятельности клиентов и контрагентов банка (например, банкротс-тво крупных клиентов банка, отток депозитов, влияние изменения обменно-го курса на кредитоспособность клиента, процентных ставок и т.п.).     Стресс-тестирование проводится посредством моделирования  сценарияразвития событий,  которые основаны на наличии экономического,  полити-ческого и/или другого события (например,  события, связанного с ухудше-нием  имиджа  банка,  смены руководства и т.д.) и могут принести убыткибанку, повлияв, соответственно, на размер капитала.     На начальном этапе стресс-тестирования необходимо проверить досто-верность и актуальность информации, на основе которой моделируется сце-нарий. При этом необходимо убедиться, что используемая отчетность соот-ветствует критериям последовательности (непрерывный ряд  отчетных  дан-ных)  и  сопоставимости (неизменность методики расчета показателей),  атакже убедиться в достоверности,  объективности и целесообразности  ис-точников другой используемой информации (например, информации из СМИ).     Сценарий развития неблагоприятного события должен быть  достаточнореальным, уместным и обоснованным. Реальность сценария означает, что ондолжен иметь высокую долю вероятности наступления такого события.     Моделирование сценария  может  включать  изменение как внутренних,так и внешних факторов и проводиться в двух версиях:     - исторический  сценарий  -  сценарий стресс-теста основывается нанаблюдениях последствий события, произошедшего в прошлом;     - гипотетический  сценарий - сценарий стресс-теста основывается навероятном событии, которое еще не произошло.     При моделировании  исторического сценария анализ проводится с уче-том событий, имевших место в прошлом и вызвавших негативные изменения вфинансовом состоянии банка.     При стресс-тестировании по методу  исторического  сценария  особоевнимание  необходимо  обратить  на точное определение условий и обстоя-тельств прошлых кризисов, которые используются при тестировании балансабанка.     Моделирование гипотетического сценария предполагает анализ  ситуа-ции, которая еще не произошла, но имеет высокую вероятность возникнове-ния.  Гипотеза может содержать как влияние определенного события на ка-питал  банка (к примеру,  при повышении или снижении текущего обменногокурса), так и оценку максимального изменения показателей, которые могутпривести к критическому значению капитала (как должен измениться обмен-ный курс,  чтобы капитал банка снизился до минимально допустимого уров-ня).     При проведении стресс-тестирования необходимо  провести  несколькопробных  расчетов.  Сценарий стресс-теста будет считаться окончательнымтогда,  когда анализ, проводимый с помощью комбинации влияния различныхрисков, покажет первые признаки неплатежеспособности для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isu87b9tdq9u6sdptj6x">
      <w:r>
        <w:rPr>
          <w:rFonts w:ascii="Arial" w:cs="Arial" w:eastAsia="Arial" w:hAnsi="Arial"/>
          <w:color w:val="132D3F"/>
          <w:sz w:val="16"/>
          <w:szCs w:val="16"/>
          <w:u w:val="single"/>
        </w:rPr>
        <w:t xml:space="preserve">dalil.kg/document/300486</w:t>
      </w:r>
    </w:hyperlink>
  </w:p>
  <w:p>
    <w:pPr>
      <w:spacing w:after="0" w:before="40"/>
      <w:jc w:val="center"/>
    </w:pPr>
    <w:hyperlink w:history="1" r:id="rIdeqndracgapubml7s8t-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txjkp3lkpzurnpvxozs" Type="http://schemas.openxmlformats.org/officeDocument/2006/relationships/hyperlink" Target="https://dalil.kg/document/300485" TargetMode="External"/><Relationship Id="rIdgp4iwyarz7lf5n09-k0lv" Type="http://schemas.openxmlformats.org/officeDocument/2006/relationships/hyperlink" Target="https://dalil.kg/document/302553" TargetMode="External"/><Relationship Id="rIdgk66o-x0b0rsclrreel6e" Type="http://schemas.openxmlformats.org/officeDocument/2006/relationships/hyperlink" Target="https://dalil.kg/document/559" TargetMode="External"/><Relationship Id="rId_rn1xwx1fndqpbxuwliq8" Type="http://schemas.openxmlformats.org/officeDocument/2006/relationships/hyperlink" Target="https://dalil.kg/document/560" TargetMode="External"/><Relationship Id="rIdpz4q0hvbhzm3ppnvstg4k" Type="http://schemas.openxmlformats.org/officeDocument/2006/relationships/hyperlink" Target="https://dalil.kg/document/302553" TargetMode="External"/><Relationship Id="rIdmd1heqxz25qnfpifpwihk" Type="http://schemas.openxmlformats.org/officeDocument/2006/relationships/hyperlink" Target="https://dalil.kg/document/300486#a" TargetMode="External"/><Relationship Id="rIdjo8vfhisbcrdx6pndoojq" Type="http://schemas.openxmlformats.org/officeDocument/2006/relationships/hyperlink" Target="https://dalil.kg/document/300486#b" TargetMode="External"/><Relationship Id="rId-fh0ptazg2yekgmrtcaaw" Type="http://schemas.openxmlformats.org/officeDocument/2006/relationships/hyperlink" Target="https://dalil.kg/document/300486#c" TargetMode="External"/><Relationship Id="rIdxgnevwjqhr8f_5epwxlfi" Type="http://schemas.openxmlformats.org/officeDocument/2006/relationships/hyperlink" Target="https://dalil.kg/document/300486#c" TargetMode="External"/><Relationship Id="rId83jfavegqiwkgdpqrmtrb" Type="http://schemas.openxmlformats.org/officeDocument/2006/relationships/hyperlink" Target="https://dalil.kg/document/300486#d" TargetMode="External"/><Relationship Id="rIdziv5kq2wtuiothnh7-lmj" Type="http://schemas.openxmlformats.org/officeDocument/2006/relationships/hyperlink" Target="https://dalil.kg/document/300486#d" TargetMode="External"/><Relationship Id="rId5z62t3d93ef2cszfdpydd" Type="http://schemas.openxmlformats.org/officeDocument/2006/relationships/hyperlink" Target="https://dalil.kg/document/300486#g" TargetMode="External"/><Relationship Id="rId2ws9rkvqym1lnytne2qvg" Type="http://schemas.openxmlformats.org/officeDocument/2006/relationships/hyperlink" Target="https://dalil.kg/document/300486#g" TargetMode="External"/><Relationship Id="rId1kwg5aybiylko2f-lgald" Type="http://schemas.openxmlformats.org/officeDocument/2006/relationships/hyperlink" Target="https://dalil.kg/document/300486#1" TargetMode="External"/><Relationship Id="rIdrdstvofyyn0meh6pyhj-a" Type="http://schemas.openxmlformats.org/officeDocument/2006/relationships/hyperlink" Target="https://dalil.kg/document/300486#h" TargetMode="External"/><Relationship Id="rIdauwcia8nmnmdwwa5xcxur" Type="http://schemas.openxmlformats.org/officeDocument/2006/relationships/hyperlink" Target="https://dalil.kg/document/31170" TargetMode="External"/><Relationship Id="rIdu_w2bvpwckk9wfei7nflr" Type="http://schemas.openxmlformats.org/officeDocument/2006/relationships/hyperlink" Target="https://dalil.kg/document/31169" TargetMode="External"/><Relationship Id="rIdoddai6zwmgjehro4dylct" Type="http://schemas.openxmlformats.org/officeDocument/2006/relationships/hyperlink" Target="https://dalil.kg/document/31169" TargetMode="External"/><Relationship Id="rIdcwjlisyniktzgpb-9s-ka" Type="http://schemas.openxmlformats.org/officeDocument/2006/relationships/hyperlink" Target="https://dalil.kg/document/31124" TargetMode="External"/><Relationship Id="rIdayco6vqvkngdsi599zecx" Type="http://schemas.openxmlformats.org/officeDocument/2006/relationships/hyperlink" Target="https://dalil.kg/document/3109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isu87b9tdq9u6sdptj6x" Type="http://schemas.openxmlformats.org/officeDocument/2006/relationships/hyperlink" Target="https://dalil.kg/document/300486" TargetMode="External"/><Relationship Id="rIdeqndracgapubml7s8t-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2026-09-24T18:57:30.179Z</dcterms:created>
  <dcterms:modified xsi:type="dcterms:W3CDTF">2026-09-24T18:57:30.179Z</dcterms:modified>
</cp:coreProperties>
</file>

<file path=docProps/custom.xml><?xml version="1.0" encoding="utf-8"?>
<Properties xmlns="http://schemas.openxmlformats.org/officeDocument/2006/custom-properties" xmlns:vt="http://schemas.openxmlformats.org/officeDocument/2006/docPropsVTypes"/>
</file>