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Утверждена                                             </w:t>
      </w:r>
      <w:hyperlink w:history="1" r:id="rId9mxx0lwk-navzj3tpdc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февраля 2007 года № 6/3                               ИНСТРУКЦИЯ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I. Общие положения      1.1. Настоящая Инструкция разработана в рамках реализации пилотно-го проекта по внедрению исламских принципов финансирования в КыргызскойРеспублике.     1.2. Целью данной Инструкции  является  установление  особенностейрасчета  лимитов  открытой  валютной  позиции  в ОАО "Экобанк" (далее -банк) с учетом операций,  осуществляемых в  соответствии  с  исламскимипринципами финансирования.     1.3. В целях настоящей Инструкции применяются следующие  определе-ния:     1.3.1. Активы,  размещенные/приобретенные по  исламским  принципамфинансирования - активы, размещенные/приобретенные по операциям, разре-шенным </w:t>
      </w:r>
      <w:hyperlink w:history="1" r:id="rIdxghrkow9zl5gyt0sbzue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вКыргызской Республике в рамках пилотного проекта" (утверждено </w:t>
      </w:r>
      <w:hyperlink w:history="1" r:id="rIdbsr7hpj7npeal7aiqgpuu">
        <w:r>
          <w:rPr>
            <w:rFonts w:ascii="Arial" w:cs="Arial" w:eastAsia="Arial" w:hAnsi="Arial"/>
            <w:color w:val="1D4ED8"/>
            <w:sz w:val="24"/>
            <w:szCs w:val="24"/>
            <w:u w:val="single"/>
          </w:rPr>
          <w:t xml:space="preserve">постанов-</w:t>
        </w:r>
      </w:hyperlink>
      <w:hyperlink w:history="1" r:id="rIdt1i5f6tf608qvjkpnltu7">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Правления НБКР № 32/2 от 30.10.06 г., зарегистрировано МЮКР за №120-06 от 30.11.06 г.).     1.3.2. Обязательства,  привлеченные в  соответствии  с  исламскимипринципами  финансирования - обязательства,  привлеченные по операциям,разрешенным </w:t>
      </w:r>
      <w:hyperlink w:history="1" r:id="rIdckezjb9wusasquxjwtyb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финансированияв  Кыргызской Республике в рамках пилотного проекта" (утверждено </w:t>
      </w:r>
      <w:hyperlink w:history="1" r:id="rIdhldnm_y9eq5vnjnjlyiud">
        <w:r>
          <w:rPr>
            <w:rFonts w:ascii="Arial" w:cs="Arial" w:eastAsia="Arial" w:hAnsi="Arial"/>
            <w:color w:val="1D4ED8"/>
            <w:sz w:val="24"/>
            <w:szCs w:val="24"/>
            <w:u w:val="single"/>
          </w:rPr>
          <w:t xml:space="preserve">поста-</w:t>
        </w:r>
      </w:hyperlink>
      <w:hyperlink w:history="1" r:id="rIdnooillu1xjpy44oi9mklh">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32/2 от 30.10.06 г.,  зарегистрировано  МЮКРза № 120-06 от 30.11.06 г.).     1.3.3. Валютный риск - это риск получения банком  убытков  вследс-твие изменения стоимости требований (активов)/обязательств банка, выра-женных в иностранной валюте,  при неблагоприятном  изменении  валютногокурса, в тот момент, когда банк имеет открытую валютную позицию по дан-ной валюте.  Валютная позиция возникает при осуществлении валютных опе-раций  и  является  показателем  степени подверженности банка валютномуриску.     1.3.4. Валютные операции - это сделки, связанные с обменом, покуп-кой/продажей (конвертацией) иностранной валюты,  а также иные операции,в результате которых изменяются требования (активы) либо обязательства,выраженные в иностранной валюте.     1.3.5. Чистая  валютная  позиция  - это разница между требованиями(активами) и обязательствами банка, как балансовыми, так и забалансовы-ми, в отдельной иностранной валюте.     1.3.6. При несовпадении требований (активов) и обязательств  банкав соответствующих валютах валютная позиция считается открытой, а в слу-чае равенства - закрытой.     1.3.7. Открытая  валютная позиция банка может быть длинной (в слу-чае превышения требований (активов) банка в соответствующей валюте  надего обязательствами в той же валюте), или короткой (при превышении обя-зательств над требованиями (активами)).  Длинная валютная позиция запи-сывается со знаком "+", короткая - со знаком "-".     1.3.8. Суммарная валютная позиция - это сумма всех чистых валютныхпозиций банка по всем иностранным валютам, рассчитанная с использовани-ем метода "short hand", определенного в п.2.5 настоящей Инструкции.     1.3.9. Лимиты открытых валютных позиций - это устанавливаемые НБКРограничения,  выраженные в процентном отношении открытых валютных пози-ций (по каждой иностранной валюте и суммарной) к чистому суммарному ка-питалу банка. Открытые валютные позиции рассчитываются в кыргызских со-мах по учетному курсу НБКР.  Лимиты открытых валютных позиций рассчиты-ваются в процентах с округлением до двух десятичных знаков после  запя-той.     1.3.10. Чистый суммарный капитал банка - данная величина,  рассчи-тывается в соответствии с требованиями Инструкции "Об особенностях рас-чета коэффициентов адекватности капитала в ОАО "Экобанк" с учетом  опе-раций, осуществляемых в соответствии с исламскими принципами финансиро-вания".     1.3.11. В  целях настоящей Инструкции при расчете лимитов открытыхвалютных позиций используется значение чистого суммарного капитала бан-ка по состоянию на 1-е число каждого месяца.     1.3.12. Дата заключения сделки -  это  дата  достижения  сторонамисоглашения по основным условиям сделки (виды валют, обменный курс, сум-мы средств, дата валютирования и др.).     1.3.13. Дата валютирования - это дата, в которую происходит зачис-ление средств на счета участников сделки.              II. Порядок расчета открытых валютных позиций      2.1. По состоянию на конец каждого рабочего дня банк должен  расс-читывать следующие показатели:     - чистые валютные позиции по каждой иностранной валюте;     - суммарную валютную позицию.     2.2. Чистые валютные позиции рассчитываются в соответствии с  </w:t>
      </w:r>
      <w:hyperlink w:history="1" r:id="rId5pigpyw53vsnvjjhezrc5">
        <w:r>
          <w:rPr>
            <w:rFonts w:ascii="Arial" w:cs="Arial" w:eastAsia="Arial" w:hAnsi="Arial"/>
            <w:color w:val="1D4ED8"/>
            <w:sz w:val="24"/>
            <w:szCs w:val="24"/>
            <w:u w:val="single"/>
          </w:rPr>
          <w:t xml:space="preserve">Инс-</w:t>
        </w:r>
      </w:hyperlink>
      <w:hyperlink w:history="1" r:id="rId9de3ppxwqvoqjyihjjt1y">
        <w:r>
          <w:rPr>
            <w:rFonts w:ascii="Arial" w:cs="Arial" w:eastAsia="Arial" w:hAnsi="Arial"/>
            <w:color w:val="1D4ED8"/>
            <w:sz w:val="24"/>
            <w:szCs w:val="24"/>
            <w:u w:val="single"/>
          </w:rPr>
          <w:t xml:space="preserve">трукцией</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 (утверждена  </w:t>
      </w:r>
      <w:hyperlink w:history="1" r:id="rId9a0gqjvvisokzyddok-sz">
        <w:r>
          <w:rPr>
            <w:rFonts w:ascii="Arial" w:cs="Arial" w:eastAsia="Arial" w:hAnsi="Arial"/>
            <w:color w:val="1D4ED8"/>
            <w:sz w:val="24"/>
            <w:szCs w:val="24"/>
            <w:u w:val="single"/>
          </w:rPr>
          <w:t xml:space="preserve">поста-</w:t>
        </w:r>
      </w:hyperlink>
      <w:hyperlink w:history="1" r:id="rIduffgdbhsvmabdqesobgvo">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36/13 от 29 декабря 2004 г., зарегистрирова-но в МЮКР за № 16-05 от 1 февраля 2005 г.) отдельно по каждой иностран-ной валюте с обязательным включением в расчет:     - чистая спот-позиция в иностранной валюте по операциям,  осущест-вляемым  банком  в соответствии с исламскими принципами финансирования.Данная величина рассчитывается как разница между балансовыми активами ибалансовыми  обязательствами,  включая незавершенные "спот" контракты сдатой валютирования до 2-х дней.  При этом активы и обязательства вклю-чаются в расчет по чистой балансовой стоимости;     - безотзывные тендерные гарантии, аккредитивы и прочие подобные имфинансовые контракты, заключенные в соответствии с исламскими принципа-ми финансирования номинированные в иностранной валюте,  по которым банкожидает,  что должен будет выплатить денежные средства. При этом данныеинструменты включаются в расчет чистой позиции с момента  возникновениявероятности  представления  бенефициаром  требований об уплате денежнойсуммы.  Для оценки вероятности с  достаточной  степенью  достоверности,банк может использовать информацию о неисполнении (задержке исполнения)принципалом своих обязательств, в том числе не имеющих непосредственно-го отношения к условиям обязательства.     2.3. Валютные операции включаются в расчет валютной позиции с датызаключения сделки,  в том числе операции, содержащие будущую дату валю-тирования, не являющуюся датой заключения сделки.     2.4. При расчете чистых валютных позиций по каждой иностранной ва-люте величины валютных позиций  переводятся  в  сомовый  эквивалент  подействующему на отчетную дату учетному курсу НБКР.     2.5. Суммарная валютная позиция по всем иностранным валютам  расс-читывается с использованием метода "short hand".  А именно, расчет осу-ществляется путем суммирования отдельно всех  длинных  чистых  валютныхпозиций  и отдельно всех коротких чистых валютных позиций по каждой ва-люте.  Затем полученные величины сравниваются друг с другом (в абсолют-ной  величине),  и  наибольшая из двух величин используется при расчетелимита суммарной валютной позиции.                  III. Лимиты открытой валютной позиции      3.1. В целях снижения валютного риска Национальный банк КыргызскойРеспублики устанавливает следующие лимиты открытой валютной позиции:     3.1.1. По состоянию на конец  операционного  дня  размер  открытойдлинной/короткой  валютной позиции,  рассчитанный в соответствии с </w:t>
      </w:r>
      <w:hyperlink w:history="1" r:id="rIdzjoqrnbzsklixkolrsbkn">
        <w:r>
          <w:rPr>
            <w:rFonts w:ascii="Arial" w:cs="Arial" w:eastAsia="Arial" w:hAnsi="Arial"/>
            <w:color w:val="1D4ED8"/>
            <w:sz w:val="24"/>
            <w:szCs w:val="24"/>
            <w:u w:val="single"/>
          </w:rPr>
          <w:t xml:space="preserve">Инс-</w:t>
        </w:r>
      </w:hyperlink>
      <w:hyperlink w:history="1" r:id="rIdoo-vqcei1d7l61ydhcsfh">
        <w:r>
          <w:rPr>
            <w:rFonts w:ascii="Arial" w:cs="Arial" w:eastAsia="Arial" w:hAnsi="Arial"/>
            <w:color w:val="1D4ED8"/>
            <w:sz w:val="24"/>
            <w:szCs w:val="24"/>
            <w:u w:val="single"/>
          </w:rPr>
          <w:t xml:space="preserve">трукцией</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 (утверждена </w:t>
      </w:r>
      <w:hyperlink w:history="1" r:id="rId_baofjnht0vdc2nhqaja4">
        <w:r>
          <w:rPr>
            <w:rFonts w:ascii="Arial" w:cs="Arial" w:eastAsia="Arial" w:hAnsi="Arial"/>
            <w:color w:val="1D4ED8"/>
            <w:sz w:val="24"/>
            <w:szCs w:val="24"/>
            <w:u w:val="single"/>
          </w:rPr>
          <w:t xml:space="preserve">поста-</w:t>
        </w:r>
      </w:hyperlink>
      <w:hyperlink w:history="1" r:id="rIdv3puhcg2lfmd1avvsnali">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36/13 от 29 декабря 2004 г., зарегистрирова-но в МЮКР за № 16-05 от 1 февраля 2005 г.) с учетом операций,  осущест-вляемых банком в соответствии с исламскими принципами финансирования, всоответствии с требованиями настоящей Инструкции, по каждой иностраннойвалюте не должен превышать:     а) для валют стран,  являющихся членами Организации ЭкономическогоРазвития и Сотрудничества (ОЭРС) и/или для валют стран, подписавших 8-юстатью  "Статей соглашения" с МВФ - 15%  от чистого суммарного капиталабанка;     б) для валют стран,  не подписавших 8-ю статью "Статей соглашения"с МВФ - 0% от чистого суммарного капитала банка (закрытая позиция).     3.1.2. По  состоянию  на  конец операционного дня размер суммарнойвалютной позиции,  рассчитанный в соответствии с </w:t>
      </w:r>
      <w:hyperlink w:history="1" r:id="rIdnrebpmgjtcvu18mtspm0n">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порядкесоблюдения  лимитов  открытой валютной позиции коммерческими банками натерритории Кыргызской Республики (утверждена  </w:t>
      </w:r>
      <w:hyperlink w:history="1" r:id="rIdmnkavd22easwuqoa-vw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ПравленияНБКР № 36/13 от 29 декабря 2004 г.,  зарегистрировано в МЮКР за № 16-05от 1 февраля 2005 г.) с учетом операций,  осуществляемых банком в соот-ветствии с исламскими принципами финансирования,  в соответствии с тре-бованиями настоящей Инструкции, по всем иностранным валютам стран, ука-занных в подпункте а) пункта 3.1.1 настоящей Инструкции, не должен пре-вышать 20% от чистого суммарного капитала банка.     3.2. Соблюдение  установленных  лимитов  открытых валютных позицийобязательно на конец каждого операционного дня.     3.3. Превышения установленных лимитов открытых валютных позиций немогут переноситься банком на следующий операционный день.  До конца те-кущего  операционного дня лимиты должны быть приведены в соответствие стребованиями НБКР.     3.4. Величина  открытых  валютных  позиций в течение операционногодня контролируется банком самостоятельно,  исходя из собственной оценкидопустимого  уровня  валютного  риска.  При этом банк должен удерживатьразмеры валютного риска в течение дня в соответствии с внутренней поли-тикой управления валютными рисками, утвержденной Советом директоров.     3.5. Предельное значение лимитов открытых валютных  позиций  можетбыть  снижено решением Комитета по надзору при осуществлении банком не-надежной и нездоровой практики ведения операций или при угрозе  наруше-ния банковского законодательства.     3.6. В случае, если величина чистого суммарного капитала банка яв-ляется отрицательной или равна нулю, банк должен привести чистые валют-ные позиции по каждой валюте к нулевому значению (закрытая  позиция)  всроки, установленные НБКР.             IV. Отчетность банка и порядок ее представления      4.1. Ежедневно  до 9.00 ч.  банк должен представлять в НБКР отчетыоб открытых валютных позициях по состоянию на конец последнего операци-онного  дня  в  соответствии с </w:t>
      </w:r>
      <w:hyperlink w:history="1" r:id="rIdoh5x6rhhqaspvkykkokih">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соблюдения лимитовоткрытой валютной позиции коммерческими банками на территории  Кыргызс-кой  Республики (утверждена </w:t>
      </w:r>
      <w:hyperlink w:history="1" r:id="rIdjghd6motpopdnwsudvd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36/13 от 29декабря 2004 г.,  зарегистрировано в МЮ КР за № 16-05 от 1 февраля 2005г.), Периодическим регулятивным банковским отчетом (ПРБО) и приложения-ми к настоящей Инструкции.     4.2. Банк с учетом данных всех филиалов,  дочерних банков и обмен-ных пунктов должен представлять следующие отчеты по  открытым  валютнымпозициям:     - отчет по операциям,  осуществляемым в соответствии с  исламскимипринципами финансирования (</w:t>
      </w:r>
      <w:hyperlink w:history="1" r:id="rIdarhl7yf-_l-oy2qpezgf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сводный отчет по всем операциям банка (</w:t>
      </w:r>
      <w:hyperlink w:history="1" r:id="rIdb81rnydepvcuilqgjhwy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V. Санкции за нарушение банком установленных                   лимитов открытой валютной позиции      5.1. В  случае нарушения банком установленных лимитов открытой ва-лютной позиции, Национальный банк Кыргызской Республики применяет санк-ции в виде взыскания денежного штрафа в размере 5%  от суммы нарушения,но не более 1% от размера оплаченного уставного капитала банка, в соот-ветствии с предусмотренными нормативными актами НБКР.     5.2. При систематическом (более 2-х раз за последовательные 30 ка-лендарных дней) нарушении банком установленных лимитов, НБКР может при-менить иные санкции,  предусмотренные  банковским  законодательством  инормативными актами НБКР, вплоть до отзыва лицензии.     Примечание: Превышение установленных лимитов в пределах 0-0,05% невлечет за собой применение штрафных санкций.     5.3. Любые попытки банка каким-либо образом избежать  отражения  вотчетности реальной валютной позиции будут рассматриваться Национальнымбанком как:     - попытки ввести Национальный банк в заблуждение;     - нездоровая банковская практика;     - манипуляция  валютной позицией с целью искажения ее реальной ве-личины,  то есть проведение сомнительных операций,  происхождение и со-вершение  которых не поддаются четкой идентификации и/или если эти опе-рации влияют на финансовую отчетность банка и его экономические  норма-тивы;     - предоставление банком недостоверной  финансовой  и  регулятивнойотчетности.  Подобные  валютные операции не принимаются во внимание прирасчете лимитов валютной позиции.     5.4. В  случае нарушения любого из требований настоящей Инструкциируководство банка обязано  незамедлительно  информировать  Национальныйбанк  о допущенных нарушениях и представить в двухдневный срок письмен-ные объяснения о причинах допущенного нарушения с перечнем мер,  приня-тых банком с целью его устранения.                  VI. Организация внутреннего контроля                  по операциям с иностранной валютой      6.1. Для осуществления операций с иностранной валютой банк  долженразработать  внутреннюю политику управления валютными рисками и органи-зовать адекватный внутренний контроль.     6.2. По каждой из проводимых операций с иностранной валютой должныбыть разработаны соответствующие процедуры, в которых должны быть отра-жены, по меньшей мере, следующие вопросы:     - разграничение функций back и front офисов;     - разграничение  функциональных обязанностей сотрудников банка та-ким образом, чтобы один сотрудник не мог исполнить и/или контролироватькакой-либо  процесс в полном объеме от инициирования сделки до ее учетав бухгалтерских книгах;     - внедрение четкой системы санкционирования объема проводимых бан-ком операций соответствующими уполномоченными сотрудниками банка;     - установление банком внутренних лимитов открытой валютной позициипо каждой иностранной валюте и в целом по всем валютам;     - установление   уровня   достаточности  информации  о  надежностиконтр-агентов,  в зависимости от характера и степени риска  совершаемыхопераций и категории контр-агента;     - установление требований к внутреннему аудиту при проведении про-верок валютных операций (как минимум, независимость аудиторов и наличиеу них необходимой квалификации и знаний);     - установление требований по учету и отчетности по валютным опера-циям для банка и его филиалов (форма,  частота  представления,  ответс-твенность).   </w:t>
      </w:r>
      <w:r>
        <w:rPr>
          <w:rFonts w:ascii="Arial" w:cs="Arial" w:eastAsia="Arial" w:hAnsi="Arial"/>
          <w:sz w:val="24"/>
          <w:szCs w:val="24"/>
        </w:rPr>
        <w:t xml:space="preserve">                                            Приложение 1</w:t>
      </w:r>
      <w:r>
        <w:rPr>
          <w:rFonts w:ascii="Arial" w:cs="Arial" w:eastAsia="Arial" w:hAnsi="Arial"/>
          <w:sz w:val="24"/>
          <w:szCs w:val="24"/>
        </w:rPr>
        <w:t xml:space="preserve">                                 к Инструкции "Об особенностях расчета                                   лимитов открытой валютной позиции                                   ОАО "Экобанк" с учетом операций,                                     осуществляемых в соответствии                                с исламскими принципами финансирования"                            ЕЖЕДНЕВНЫЙ ОТЧЕТ                  об открытых валютных позициях (ОВП)              по операциям, осуществляемым в соответствии                с исламскими принципами финансирования                   по состоянию на ___.___.200__ г.      ЧСК по состоянию на "01" __________ года: _______________ тыс. сом-----------------------------------------------------------------------| Вид  |Учетный|Величина|   В том   | Остатки по  |Величина|Отклонение||валюты| курс  |  ОВП   |   числе:  |незавершенным| ОВП (% | от нормы ||      | НБКР  |  (тыс. |-----------|спот-сделкам | к ЧСК) |лимита (%)||      |       |  сом)  |Ба-  |Заба-|             |        |          ||      |       |        |ланс |ланс |             |        |          ||------|-------|--------|-----|-----|-------------|--------|----------||      |       |        |     |     |             |        |          ||------|-------|--------|-----|-----|-------------|--------|----------||      |       |        |     |     |             |        |          ||------|-------|--------|-----|-----|-------------|--------|----------||      |       |        |     |     |             |        |          ||-----------------------------------|-------------|--------|----------||Суммарная ОВП:                     |             |        |          |-----------------------------------------------------------------------      Подписи:      МП    </w:t>
      </w:r>
      <w:r>
        <w:rPr>
          <w:rFonts w:ascii="Arial" w:cs="Arial" w:eastAsia="Arial" w:hAnsi="Arial"/>
          <w:sz w:val="24"/>
          <w:szCs w:val="24"/>
        </w:rPr>
        <w:t xml:space="preserve">                                           Приложение 2</w:t>
      </w:r>
      <w:r>
        <w:rPr>
          <w:rFonts w:ascii="Arial" w:cs="Arial" w:eastAsia="Arial" w:hAnsi="Arial"/>
          <w:sz w:val="24"/>
          <w:szCs w:val="24"/>
        </w:rPr>
        <w:t xml:space="preserve">                                 к Инструкции "Об особенностях расчета                                   лимитов открытой валютной позиции                                   ОАО "Экобанк" с учетом операций,                                     осуществляемых в соответствии                                с исламскими принципами финансирования"                        СВОДНЫЙ ЕЖЕДНЕВНЫЙ ОТЧЕТ                  об открытых валютных позициях (ОВП)                   по состоянию на ___.___.200__ г.      ЧСК по состоянию на "01" __________ года: _______________ тыс. сом-----------------------------------------------------------------------| Вид  |Учетный|Величина|   В том   | Остатки по  |Величина|Отклонение||валюты| курс  |  ОВП   |   числе:  |незавершенным| ОВП (% | от нормы ||      | НБКР  |  (тыс. |-----------|спот-сделкам | к ЧСК) |лимита (%)||      |       |  сом)  |Ба-  |Заба-|             |        |          ||      |       |        |ланс |ланс |             |        |          ||------|-------|--------|-----|-----|-------------|--------|----------||      |       |        |     |     |             |        |          ||------|-------|--------|-----|-----|-------------|--------|----------||      |       |        |     |     |             |        |          ||------|-------|--------|-----|-----|-------------|--------|----------||      |       |        |     |     |             |        |          ||-----------------------------------|-------------|--------|----------||Суммарная ОВП:                     |             |        |          |-----------------------------------------------------------------------      Подписи: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apjrtjnlgc_mb6w6jx4">
      <w:r>
        <w:rPr>
          <w:rFonts w:ascii="Arial" w:cs="Arial" w:eastAsia="Arial" w:hAnsi="Arial"/>
          <w:color w:val="132D3F"/>
          <w:sz w:val="16"/>
          <w:szCs w:val="16"/>
          <w:u w:val="single"/>
        </w:rPr>
        <w:t xml:space="preserve">dalil.kg/document/300593</w:t>
      </w:r>
    </w:hyperlink>
  </w:p>
  <w:p>
    <w:pPr>
      <w:spacing w:after="0" w:before="40"/>
      <w:jc w:val="center"/>
    </w:pPr>
    <w:hyperlink w:history="1" r:id="rIdg0n2or3arhv3uppdn2l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mxx0lwk-navzj3tpdce9" Type="http://schemas.openxmlformats.org/officeDocument/2006/relationships/hyperlink" Target="https://dalil.kg/document/300592" TargetMode="External"/><Relationship Id="rIdxghrkow9zl5gyt0sbzueq" Type="http://schemas.openxmlformats.org/officeDocument/2006/relationships/hyperlink" Target="https://dalil.kg/document/300540" TargetMode="External"/><Relationship Id="rIdbsr7hpj7npeal7aiqgpuu" Type="http://schemas.openxmlformats.org/officeDocument/2006/relationships/hyperlink" Target="https://dalil.kg/document/300539" TargetMode="External"/><Relationship Id="rIdt1i5f6tf608qvjkpnltu7" Type="http://schemas.openxmlformats.org/officeDocument/2006/relationships/hyperlink" Target="https://dalil.kg/document/300539" TargetMode="External"/><Relationship Id="rIdckezjb9wusasquxjwtybs" Type="http://schemas.openxmlformats.org/officeDocument/2006/relationships/hyperlink" Target="https://dalil.kg/document/300540" TargetMode="External"/><Relationship Id="rIdhldnm_y9eq5vnjnjlyiud" Type="http://schemas.openxmlformats.org/officeDocument/2006/relationships/hyperlink" Target="https://dalil.kg/document/300539" TargetMode="External"/><Relationship Id="rIdnooillu1xjpy44oi9mklh" Type="http://schemas.openxmlformats.org/officeDocument/2006/relationships/hyperlink" Target="https://dalil.kg/document/300539" TargetMode="External"/><Relationship Id="rId5pigpyw53vsnvjjhezrc5" Type="http://schemas.openxmlformats.org/officeDocument/2006/relationships/hyperlink" Target="https://dalil.kg/document/31124" TargetMode="External"/><Relationship Id="rId9de3ppxwqvoqjyihjjt1y" Type="http://schemas.openxmlformats.org/officeDocument/2006/relationships/hyperlink" Target="https://dalil.kg/document/31124" TargetMode="External"/><Relationship Id="rId9a0gqjvvisokzyddok-sz" Type="http://schemas.openxmlformats.org/officeDocument/2006/relationships/hyperlink" Target="https://dalil.kg/document/31095" TargetMode="External"/><Relationship Id="rIduffgdbhsvmabdqesobgvo" Type="http://schemas.openxmlformats.org/officeDocument/2006/relationships/hyperlink" Target="https://dalil.kg/document/31095" TargetMode="External"/><Relationship Id="rIdzjoqrnbzsklixkolrsbkn" Type="http://schemas.openxmlformats.org/officeDocument/2006/relationships/hyperlink" Target="https://dalil.kg/document/31124" TargetMode="External"/><Relationship Id="rIdoo-vqcei1d7l61ydhcsfh" Type="http://schemas.openxmlformats.org/officeDocument/2006/relationships/hyperlink" Target="https://dalil.kg/document/31124" TargetMode="External"/><Relationship Id="rId_baofjnht0vdc2nhqaja4" Type="http://schemas.openxmlformats.org/officeDocument/2006/relationships/hyperlink" Target="https://dalil.kg/document/31095" TargetMode="External"/><Relationship Id="rIdv3puhcg2lfmd1avvsnali" Type="http://schemas.openxmlformats.org/officeDocument/2006/relationships/hyperlink" Target="https://dalil.kg/document/31095" TargetMode="External"/><Relationship Id="rIdnrebpmgjtcvu18mtspm0n" Type="http://schemas.openxmlformats.org/officeDocument/2006/relationships/hyperlink" Target="https://dalil.kg/document/31124" TargetMode="External"/><Relationship Id="rIdmnkavd22easwuqoa-vwcl" Type="http://schemas.openxmlformats.org/officeDocument/2006/relationships/hyperlink" Target="https://dalil.kg/document/31124" TargetMode="External"/><Relationship Id="rIdoh5x6rhhqaspvkykkokih" Type="http://schemas.openxmlformats.org/officeDocument/2006/relationships/hyperlink" Target="https://dalil.kg/document/31124" TargetMode="External"/><Relationship Id="rIdjghd6motpopdnwsudvdic" Type="http://schemas.openxmlformats.org/officeDocument/2006/relationships/hyperlink" Target="https://dalil.kg/document/31095" TargetMode="External"/><Relationship Id="rIdarhl7yf-_l-oy2qpezgfw" Type="http://schemas.openxmlformats.org/officeDocument/2006/relationships/hyperlink" Target="https://dalil.kg/document/300593#1" TargetMode="External"/><Relationship Id="rIdb81rnydepvcuilqgjhwyp" Type="http://schemas.openxmlformats.org/officeDocument/2006/relationships/hyperlink" Target="https://dalil.kg/document/300593#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apjrtjnlgc_mb6w6jx4" Type="http://schemas.openxmlformats.org/officeDocument/2006/relationships/hyperlink" Target="https://dalil.kg/document/300593" TargetMode="External"/><Relationship Id="rIdg0n2or3arhv3uppdn2l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2026-10-03T06:29:42.063Z</dcterms:created>
  <dcterms:modified xsi:type="dcterms:W3CDTF">2026-10-03T06:29:42.063Z</dcterms:modified>
</cp:coreProperties>
</file>

<file path=docProps/custom.xml><?xml version="1.0" encoding="utf-8"?>
<Properties xmlns="http://schemas.openxmlformats.org/officeDocument/2006/custom-properties" xmlns:vt="http://schemas.openxmlformats.org/officeDocument/2006/docPropsVTypes"/>
</file>