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 сентября 2007 года. Регистрационный номер 82-07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Утверждена
 </w:t>
      </w:r>
      <w:hyperlink w:history="1" r:id="rIddyevocixfz5p3hesk8lr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Инструкция
 о порядке заполнения платежных документов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3xmxjxavyjt1ypvnpdcy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1.1. (Утратил силу в соответствии с </w:t>
      </w:r>
      <w:hyperlink w:history="1" r:id="rIdu8pidwi5mh8_kykqipwf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1.2. Термины и определения, используемые в Инструкции, соответствуют терминам и определениям, приведенным в "</w:t>
      </w:r>
      <w:r>
        <w:rPr>
          <w:rFonts w:ascii="Arial" w:cs="Arial" w:eastAsia="Arial" w:hAnsi="Arial"/>
          <w:sz w:val="22"/>
          <w:szCs w:val="22"/>
        </w:rPr>
        <w:t xml:space="preserve">Положении</w:t>
      </w:r>
      <w:r>
        <w:rPr>
          <w:rFonts w:ascii="Arial" w:cs="Arial" w:eastAsia="Arial" w:hAnsi="Arial"/>
          <w:sz w:val="22"/>
          <w:szCs w:val="22"/>
        </w:rPr>
        <w:t xml:space="preserve"> о безналичных расчетах в Кыргызской Республике", утвержденном </w:t>
      </w:r>
      <w:r>
        <w:rPr>
          <w:rFonts w:ascii="Arial" w:cs="Arial" w:eastAsia="Arial" w:hAnsi="Arial"/>
          <w:sz w:val="22"/>
          <w:szCs w:val="22"/>
        </w:rPr>
        <w:t xml:space="preserve">постановлением</w:t>
      </w:r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и НБ Кыргызской Республики № 420/21/4 от 9 сентября 2005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1.3. Настоящая Инструкция о порядке заполнения платежных документов (далее - Инструкция) определяет формы бланков бумажных платежных документов и порядок заполнения значений их реквизитов. Инструкция также определяет минимальные требования для бумажных платежных документов, предназначенных для учета внутренних операций банков (мемориальный ордер и объявление на взнос наличными).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u1ezdzfxv7fmbqxxsii4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1.4. Платежные документы используются юридическими и физическими лицами для проведения всех видов платежей в национальной валюте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1.5. Платежные документы на бумажном носителе оформляются на бланке, включенном в "Государственный классификатор управленческой документации", утвержденный постановлением Национального статистического комитета Кыргызской Республики от 18 декабря 2015 года №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mj5gks7m_ofe59-zgcwb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1.6. Бланки платежных документов изготавливаются в типографии или с использованием компьютеров. Допускается использование копий бланков платежных документов, полученных на множительной технике, при условии, если копирование производится без искажений.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Требования по заполнению платежных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2.1. Платежные документы на бумажном носителе заполняются: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 применением компьютерной техники шрифтом черного цвета;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шариковой ручкой с чернилами, устойчивыми к техническим воздействиям, черного, синего или фиолетового цветов.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tuexmjgmmt_gqywu3moy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2.2. Подписи на платежных документах проставляются ручкой с чернилами черного, синего или фиолетового цветов. Оттиск печати и штампа банка должны быть четкими. Подписи, печати и штампы должны проставляться в предназначенных для них полях.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2.3. При заполнении платежных документов не допускается выход текстовых и цифровых значений реквизитов за пределы полей, отведенных для их проставления. Значения реквизитов должны читаться без затруднения.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2.4. Исправления, помарки и подчистки, а также использование корректирующей жидкости в платежных документах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2.5. Параметры формата платежных документов должны соответствовать установленным параметрам. Допускается отклонение от установленных размеров не более 5 мм при условии сохранения их расположения. Оборотные стороны бланков расчетных документов должны оставаться чистыми.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2.6. Платежные документы должны содержать все необходимые реквизиты для осуществления расчета по переводу денежных средств от плательщика до получателя денежных средств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ijogexfgtgsvrsud5b8l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2.7. В случае представления платежных документов в электронной форме, банк плательщика подтверждает клиенту получение платежного документа в соответствии с условиями договора между банком и клиентом, а также в соответствии с внутренними нормативными документами и процедурами банка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2.8. Ответственность за правильность проставления реквизитов платежного документа несет сторона, инициирующая платеж.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2.9. Банк плательщика при приеме платежного документа к оплате проверяет его на соответствие требованиям установленным нормативными актами Кыргызской Республики. Платежные документы, заполненные и представленные в форме, не соответствующей требованиям по их заполнению, приему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2.10. Платежные документы исполняются банком в сроки, предусмотренные законодательством Кыргызской Республики или договором банковского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7ltarnszqza1bad3xpe0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Формы безналичных расчетов и порядок применения платежных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 Формы платежных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осуществлении безналичных расчетов применяются кредитовые и дебетовые формы безналичных расчетов и платежных инструментов, которые в зависимости от целей использования подразделяются на следующие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для проведения платежей на межбанковском уровне (платежное поручение, платежное поручение на прямое дебетование);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документы, используемые на уровне клиент-банк (входящие и исходящие сводные ведомости-поручения и сводные ведомости-поручения на прямое дебетование);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стандартизированные платежные документы для учета внутренних операций (мемориальный ордер, объявление на взнос наличными).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 Расчеты с использованием унифицированной формы платежного поручения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3.2.1. Перечисление определенной суммы денежных средств со счета отправителя на счет получателя, открытый в этом или другом банке, осуществляется с использованием формы унифицированного платежного поручения.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3.2.2. При осуществлении безналичных расчетов через предприятия связи юридическими и физическими лицами за полученные товары, оказанные услуги, а также при возврате финансовыми органами доходов в бюджет, могут использоваться акцептованные платежные поручения в соответствии с правилами и порядком использования акцептованных платежных поручений, определенными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low5dnwmtdad1htirmnn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3.2.3. Платежное поручение должно содержать как минимум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платежного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код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порядковый номер документа, число, месяц и год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дату расчета;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наименование плательщика, номер его счета, идентификационный номер налогоплательщика (ИНН), код плательщика (ОКПО)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регистрационный (для юридических), идентификационный (для физических) номер Социального фонда Кыргызской Республики при уплате взносов на социальное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наименование банка плательщика,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наименование получателя средств, номера его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наименование банка получателя,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назначение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л) код платежа согласно "</w:t>
      </w:r>
      <w:hyperlink w:history="1" r:id="rIdjk6m2nlxtuqe9dgyifrs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Государственному классификатору</w:t>
        </w:r>
      </w:hyperlink>
      <w:r>
        <w:rPr>
          <w:rFonts w:ascii="Arial" w:cs="Arial" w:eastAsia="Arial" w:hAnsi="Arial"/>
          <w:sz w:val="22"/>
          <w:szCs w:val="22"/>
        </w:rPr>
        <w:t xml:space="preserve"> платежного оборота", утвержденному </w:t>
      </w:r>
      <w:hyperlink w:history="1" r:id="rIdljgfw-btu33byz9nydcu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Правления Национального банка Кыргызской Республики от 30 ноября 2007 года № 51/4;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м) сумму платежа,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н) подписи (подпись) уполномоченных лиц (лица) и оттиск печати (в установленных случаях).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bec_4alo53ugbzuhqgws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3.2.4. Формат бланка унифицированной формы платежного поручения и порядок заполнения полей представлены в </w:t>
      </w:r>
      <w:hyperlink w:history="1" r:id="rIda8mztyrgakwy1nkk2zduy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 Платежи путем преавторизованного прямого дебетования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3.3.1. Расчеты путем преавторизованного прямого дебетования используются клиентами банков для проведения регулярных (платежи за услуги по счетам коммунальных предприятий) и других платежей с фиксированным графиком оплаты сумм (страховые взносы, ипотека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3.3.2. Платеж путем преавторизованного прямого дебетования осуществляется на основании договора между клиентом и его банком, в соответствии с которым клиент дает предварительное согласие на списание в его отсутствие денежных средств с его счета на основании предъявленных распоряжений получателя к банковскому счету клиента на оплату за поставленные товары, выполненные работы либо оказанные услуги, с приложением соответствующих документов к вышеуказанному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3.3.3. Платежное поручение на прямое дебетование, поступившее через платежную систему от банка получателя, является для банка плательщика основанием для снятия денежных средств со счета плательщика и проведения расчета в установленную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3.3.4. Платежное поручение на прямое дебетование должно содержать как минимум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платежного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порядковый номер документа, число, месяц и год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дату обработки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наименование плательщика, номер его счета в банке, номер его лицевого счета в организации-получателе денежных средств, идентификационный номер налогоплательщика (ИНН), код плательщика (ОКПО)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регистрационный (для юридических), идентификационный (для физических) номер Социального фонда Кыргызской Республики при уплате взносов на социальное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наименование банка плательщика,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наименование получателя средств, номера его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наименование банка получателя,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код платежа, согласно "Государственному классификатору платежного оборота";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назначение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л) сумму платежа,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м) подписи (подпись) уполномоченных лиц (лица) и оттиск печати (в установленных случаях).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wwdknyybchm4n7ghsyfr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3.3.5. Формат бланка платежного поручения на прямое дебетование и порядок заполнения полей представлены в </w:t>
      </w:r>
      <w:hyperlink w:history="1" r:id="rIddicv_l0kwnbz9ra-5guk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 Сводная ведомость о платежах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Сводная ведомость с информацией о платежах формируется предприятием в электронном виде с соблюдением требований, установленных законодательством Кыргызской Республики, и передается в банк-агент для исполнения. При необходимости сводные ведомости с информацией о платежах могут быть распечатаны на бумажных носителях с обеспечением полного соответствия с информацией, представленной в электронном виде. В зависимости от вида платежей определены 1) формат сводной ведомости-поручения и 2) формат сводной ведомости-поручения по прямому дебетованию.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3.4.1. Сводная ведомость-поручение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Сводная ведомость-поручение используется для осуществления выплат заработной платы сотрудникам бюджетных учреждений, пенсий, пособий и других видов выплат, для передачи информации поставщикам регулярных услуг об оплате платежей населением, а также в других отдельно оговоренных случаях.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Организация, осуществляющая выплаты, предоставляет входящий файл сводной ведомости-поручения с информацией о платежах в виде электронной таблицы в формате Excel или Dbf в банк-агент для преобразования и отправки в клиринговый центр. Формы электронных файлов сводной ведомости-поручения и порядок заполнения значений реквизитов представлены в </w:t>
      </w:r>
      <w:hyperlink w:history="1" r:id="rIdlty2lnnm0f5uhh98rs6b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После проведения расчетов и зачисления сумм на счет клиента-получателя банком-получателем формируются соответствующие исходящие файлы сводной ведомости-поручения об исполненных и неисполненных платежах и отправляются предприятию для ведения внутреннего учета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se6s8adhbu-ivmn5bl5y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3.4.2. Сводная ведомость-поручение на прямое дебетование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Сводная ведомость-поручение на прямое дебетование используется получателями для сбора регулярных платежей за предоставленные услуги с использованием инструмента "прямое дебетование".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Предприятия, оказывающие услуги населению, для клиентов, оплачивающих их услуги с использованием инструмента "прямое дебетование", предоставляют входящий файл сводной ведомости-поручения на прямое дебетование с информацией о платежах клиентов в виде электронной таблицы в формате Excel или Dbf в банк-агент для преобразования и отправки в клиринговый центр. Формы электронных файлов сводной ведомости-поручения на прямое дебетование и порядок заполнения значений реквизитов представлены в </w:t>
      </w:r>
      <w:hyperlink w:history="1" r:id="rIdrjqm1g3ptc5-htvaoyle3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После проведения окончательных расчетов и зачисления сумм на счет предприятия, оказывающего услуги населению, банком-получателем формируются соответствующие исходящие файлы сводной ведомости-поручения на прямое дебетование об исполненных и неисполненных платежах плательщиков и передаются предприятию, оказывающему услуги населению, для проведения сверки и перерасчета дебетовой задолженности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3.5. Мемориальный ордер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3.5.1. Форма мемориального ордера используется финансово-кредитными организациями только для проведения и учета внутренних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3.5.2. Мемориальный ордер должен содержать как минимум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платежного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код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порядковый номер документа, число, месяц и год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наименование плательщика, номер его счета, идентификационный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наименование банка плательщика,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наименование получателя средств, номера его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наименование банка получателя,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код платежа, согласно "Государственному классификатору платежного оборота";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сумму платежа,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подписи (подпись) уполномоченных лиц (лица) и оттиск штампа (в установленных случаях).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qzontoaipv2o4cazze_14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3.5.3. Формат бланка мемориального ордера и порядок заполнения значений реквизитов представлен в </w:t>
      </w:r>
      <w:hyperlink w:history="1" r:id="rIdd6n_kby-ssyve4zpza42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3.6. Объявления на взнос наличными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3.6.1. Коммерческие банки и другие финансово-кредитные организации производят прием наличных денежных средств в национальной валюте от физических и юридических лиц по кассовому документу "Объявление на взнос наличными", состоящему из: Объявления, Квитанции, Ордера. Формат бланка кассового документа "Объявление на взнос наличными" не должен выходить за рамки формата А4. После внесения денежных средств Ордер передается в бухгалтерию финансово-кредитной организации, Объявление остается в кассе финансово-кредитной организации, а Квитанция хранится у вносителя денежных средств. Финансово-кредитные организации также могут включать в "Объявление на взнос наличными" дополнительные реквизиты (логотип, использование иностранных языков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3.6.2. Кассовый документ "Объявление на взнос наличными" должен содержать как минимум следующие обязательные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кассового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порядковый номер кассового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число, месяц и год его заполнения;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наименование вносителя 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идентификационный код вносителя наличных денежных средств (ОКПО)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идентификационный налоговый номер (ИНН) вносителя 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регистрационный номер вносителя наличных денежных средств в Социальном фонде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наименование банка получателя и номер его кассового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наименование получателя средств и номер его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назначение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л) сумму взноса,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м) подпись вносителя 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н) подписи уполномоченных лиц (лица) финансово-кредитной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о) оттиск печати финансово-кредитной организации.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fnph-z-tfmflqq3rci7a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3.6.3. Форма Объявления на взнос наличными и порядок заполнения значений реквизитов представлены в </w:t>
      </w:r>
      <w:hyperlink w:history="1" r:id="rIdfw0inh2_wfk4tzpddjx7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 Ответственность за правильность заполнения реквизитов платежного документа несет сторона, инициирующая платеж.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 Банк плательщика при приеме платежного документа к оплате проверяет его на соответствие требованиям, установленным нормативными актами Кыргызской Республики. Платежные документы, заполненные и представленные в форме, не соответствующей требованиям по их заполнению, приему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 Участники системы обеспечивают сохранность архивов отправленных и полученных файлов платежных документов и сообщений в пределах срока исковой давности, установленного законодательством Кыргызской Республики для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rkctf5uk8awoax5j7son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4.4. Банки несут полную ответственность за соблюдение условий безопасности и конфиденциальности проводимых платежей, а также за соблюдение сроков прохождения платежей,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4.5. Споры и разногласия, возникающие между участниками платежной системы, подлежат урегулированию путем переговоров заинтересованных сторон,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4.6. Неурегулированные споры разрешаются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Унифицированная форма платежного поручения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ilb5eldtys9rwwjxdzw5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ТОЛОО ТАПШЫРМАСЫ (1)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Форма коду (5)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расчета ___________(6)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1464"/>
        <w:gridCol w:w="1667"/>
        <w:gridCol w:w="2376"/>
        <w:gridCol w:w="377"/>
        <w:gridCol w:w="377"/>
        <w:gridCol w:w="1398"/>
        <w:gridCol w:w="1785"/>
      </w:tblGrid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(8)</w:t>
            </w:r>
          </w:p>
        </w:tc>
        <w:tc>
          <w:tcPr>
            <w:tcW w:type="dxa" w:w="237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 (7)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75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↕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(11)</w:t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(9)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Регистр.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 Кыргызской Республики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(10)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Толоочунун банкы (12)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8 ↕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БИК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(13)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плательщика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↕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 (14)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237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754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 ↕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 Счет №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(15)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(17)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Алуучунун банкы (16)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 ↕</w:t>
            </w:r>
          </w:p>
        </w:tc>
        <w:tc>
          <w:tcPr>
            <w:tcW w:type="dxa" w:w="3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соз менен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 (18)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 ↕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(19)</w:t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 коду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(20)</w:t>
            </w:r>
          </w:p>
        </w:tc>
        <w:tc>
          <w:tcPr>
            <w:tcW w:type="dxa" w:w="313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-------------------------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Толоонун багыты (21)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 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 ↕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27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М.О. (22)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М.П 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 тамгасы (23)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Толоочу банктын белгиси. (24)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Отметки банка плательщика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-----------------------------------------------------------------------------------------------------------------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Размеры указаны в миллиметрах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Олчомдор миллиметр менен берилген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1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
  заполнения значений реквизитов унифицированной формы платежного поручения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поля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Требование к обязательному заполнению плательщиком поля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Платежное поручение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платежного документа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порядковый номер документа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Проставляется дата составления платежного поручения. Указываются число, месяц, год - цифрами (в формате ДД.ММ.ГГГГ), или число - арабскими цифрами, месяц прописью, год - арабскими цифрами (полностью)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10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(Утратила силу в соответствии с </w:t>
            </w:r>
            <w:hyperlink w:history="1" r:id="rId4ddiqhmlyaa9wkgwdpdxx">
              <w:r>
                <w:rPr>
                  <w:rFonts w:ascii="Arial" w:cs="Arial" w:eastAsia="Arial" w:hAnsi="Arial"/>
                  <w:i/>
                  <w:iCs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 Правления Нацбанка КР от 8 июня 2017 года № 2017-П-14/23-11)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формы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формы платежного документа в соответствии с "Государственным классификатором управленческой документации". При изготовлении бланка платежного поручения проставляется автоматически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расчета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дата списания банком плательщика денежных средств со счета клиента плательщика по правилам, установленным для поля "Дата". При этом дата расчета не должна превышать 5 дней от даты составления платежного поручения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плательщика средств. Допускаются общепринятые сокращения (ОАО, ОсОО и т.п.), в случае, если плательщик является физическим лицом, указываются его ФИО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код плательщика - ОКПО, присваиваемый в соответствии с законодательством Кыргызской Республики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(если он присвоен)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Регистр. № СФ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регистрационный (для юридических лиц), идентификационный (для физических лиц) номер Социального фонда Кыргызской Республики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при уплате взносов на социальное страхование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плательщика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плательщика. Допускаются сокращения, закрепленные в Уставе банка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 Счет №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плательщика в банке плательщика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БИК (банковский идентификационный код) банка плательщика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получателя средств. Допускаются общепринятые сокращения (ОАО, ОсОО и т.п.)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  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получателя в банке получателя. Предусмотрено два поля в целях обеспечения проставления во втором из них соответствующих отметок банка при переводе денег либо при наличии субсчета получателя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№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Банк-получателя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получателя. Допускаются сокращения, закрепленные в Уставе банка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БИК (банковский идентификационный код) банка-получателя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прописью в сомах с начала строки с заглавной буквы, при этом слово "сом" ("сомов", "сома") не сокращается, тыйыны указываются цифрами, слово "тыйын" ("тыйыны", "тыйынов") также не сокращается. Если сумма платежа выражена в целых сомах, то тыйыны можно не указывать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цифрами, сомы отделяются от тыйынов знаком тире "-". Если сумма платежа прописью выражена в целых сомах, то в этом поле указываются сумма платежа цифрами в сомах и знак равенства "="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платежа согласно утвержденному Государственному классификатору платежного оборота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назначение платежа, наименование товара, выполненных работ, оказанных услуг, номера и даты товарных документов, договоров, налоги, коды внутриведомственных классификаторов, а также другая необходимая информация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М.П.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для печати проставляется оттиск печати плательщика, согласно заявленному плательщиком образцу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 (подпись) уполномоченных лиц (лица) плательщика, имеющих право подписи на финансовых документах, согласно заявленному плательщиком образцу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Отметки банка плательщика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Проставляются дата, подписи сотрудников банка и штамп банка плательщика, подтверждающие факт проведения платежа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Форма платежного поручения на прямое дебетование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ry8aiz0bv3no9tqsg0zc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ТОЛОО ТАПШЫРМАСЫ (1)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ПЛАТЕЖНОЕ ПОРУЧЕНИЕ НА ПРЯМОЕ ДЕБЕТОВАНИЕ № ____(2) Дата ____(3)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обработки платежа ___________(4)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1620"/>
        <w:gridCol w:w="1563"/>
        <w:gridCol w:w="2424"/>
        <w:gridCol w:w="617"/>
        <w:gridCol w:w="1575"/>
        <w:gridCol w:w="1817"/>
      </w:tblGrid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(5)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 (9)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 ↕ </w:t>
            </w:r>
          </w:p>
        </w:tc>
        <w:tc>
          <w:tcPr>
            <w:tcW w:type="dxa" w:w="1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(11)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Лицевой счет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(12)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Регистр.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 Кыргызской Республики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(7)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Толоочунун банкы 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8 ↕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БИК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(8)</w:t>
            </w:r>
          </w:p>
        </w:tc>
        <w:tc>
          <w:tcPr>
            <w:tcW w:type="dxa" w:w="643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плательщика (10) </w:t>
            </w:r>
          </w:p>
        </w:tc>
      </w:tr>
      <w:tr>
        <w:tc>
          <w:tcPr>
            <w:tcW w:type="dxa" w:w="56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↕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 (13)</w:t>
            </w:r>
          </w:p>
        </w:tc>
        <w:tc>
          <w:tcPr>
            <w:tcW w:type="dxa" w:w="15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 ↕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(14)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(15) 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(16)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Алуучунун банкы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 (17)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 ↕</w:t>
            </w:r>
          </w:p>
        </w:tc>
        <w:tc>
          <w:tcPr>
            <w:tcW w:type="dxa" w:w="560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соз менен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 (18) 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 ↕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(19)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↕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 коду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(20)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Толоонун багыты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 (21)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 ↕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М.О. (22)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М.П 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 тамгасы (23)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--------------------------------------------------------------------------------------------------------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Размеры указаны в миллиметрах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Олчомдор миллиметр менен берилген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2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
  заполнения значений реквизитов платежного поручения на прямое дебетование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1547"/>
        <w:gridCol w:w="5384"/>
        <w:gridCol w:w="2874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поля</w:t>
            </w:r>
          </w:p>
        </w:tc>
        <w:tc>
          <w:tcPr>
            <w:tcW w:type="dxa" w:w="5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поля</w:t>
            </w:r>
          </w:p>
        </w:tc>
        <w:tc>
          <w:tcPr>
            <w:tcW w:type="dxa" w:w="2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Требование к обязательному заполнению плательщиком поля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Платежное поручение на прямое дебетование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документа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номер документа ПП на прямое дебетование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Проставляется дата составления ПП на прямое дебетование. Указываются число, месяц, год - цифрами (в формате ДД.ММ.ГГГГ), или число - цифрами, месяц прописью, год - цифрами (полностью)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обработки платежа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банком-получателем по правилам, установленным для поля "Дата". Датой обработки платежа является дата приема платежа в обработку платежной системой, когда он включается в предварительный расчет чистых позиций банков. При этом дата обработки платежа не должна превышать 3-х дней от даты составления ПП на прямое дебетование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код плательщика - ОКПО, присваиваемый в соответствии с законодательством Кыргызской Республики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Регистр. № СФ Кыргызской Республики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регистрационный (для юридических лиц), идентификационный (для физических лиц) номер Социального фонда Кыргызской Республики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при уплате взносов на социальное страхование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банковский идентификационный код банка плательщика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клиента-плательщика. Допускаются общепринятые сокращения (ОАО, ОсОО и т.п.). В случае, если плательщик является физическим лицом, указываются его ФИО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плательщика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банка плательщика. Допускаются сокращения, закрепленные в Уставе банка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 счет №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клиента-плательщика в банке плательщика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Лицевой счет №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Лицевой счет клиента-плательщика в организации, получателе денежных средств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организации получателя денежных средств. Допускаются общепринятые сокращения (ОАО, ОсОО и т.п.)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 счет №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организации-получателя в банке получателя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Поле предусмотрено для указания субсчета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банковский идентификационный код банка-получателя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банка получателя. Допускаются сокращения, закрепленные в Уставе банка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прописью в сомах с начала строки с заглавной буквы, при этом слово "сом" ("сомов", "сома") не сокращается, тыйыны указываются цифрами, слово "тыйын" ("тыйыны", "тыйынов") также не сокращается. Если сумма платежа выражена в целых сомах, то тыйыны можно не указывать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цифрами, сомы отделяются от тыйынов знаком тире "-". Если сумма платежа прописью выражена в целых сомах, то в этом поле указываются сумма платежа цифрами в сомах и знак равенства "="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платежа согласно утвержденному Государственному классификатору платежного оборота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назначение платежа, номер и дата договора на прямое дебетование, наименование товара, выполненных работ, оказанных услуг, список товарных документов, налоги, коды внутриведомственных классификаторов, а также другая необходимая информация в соответствии с указанным договором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М.П.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для печати. Проставляется оттиск штампа исполнителя структурного подразделения Банка, ведущего счет плательщика средств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 (подпись) уполномоченных лиц банка плательщика: исполнителя и контролера соответствующего подразделения Банка, ведущего счет плательщика средств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Формы электронных файлов сводной ведомости-поручения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формате Excel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Электронный файл сводной ведомости-поручения в формате Excel состоит из двух блоков: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первом блоке отражается информация, относящаяся ко всем платежам в файле;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второй блок содержит реквизиты каждого отдельного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поле 52А во входящем файле сводной ведомости-поручения заполняется в первом блоке, в исходящем файле сводной ведомости-поручения во втором блоке.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3"/>
        <w:gridCol w:w="1042"/>
        <w:gridCol w:w="660"/>
        <w:gridCol w:w="1042"/>
        <w:gridCol w:w="732"/>
        <w:gridCol w:w="962"/>
        <w:gridCol w:w="1042"/>
        <w:gridCol w:w="1165"/>
        <w:gridCol w:w="1165"/>
        <w:gridCol w:w="1165"/>
      </w:tblGrid>
      <w:tr>
        <w:tc>
          <w:tcPr>
            <w:tcW w:type="dxa" w:w="12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сообщения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платежа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расчета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общая (в файле)(*)</w:t>
            </w:r>
          </w:p>
        </w:tc>
        <w:tc>
          <w:tcPr>
            <w:tcW w:type="dxa" w:w="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№UM (кол-во платежей в файле)</w:t>
            </w:r>
          </w:p>
        </w:tc>
        <w:tc>
          <w:tcPr>
            <w:tcW w:type="dxa" w:w="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БИК банка отправителя платежа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банка отправителя</w:t>
            </w:r>
          </w:p>
        </w:tc>
        <w:tc>
          <w:tcPr>
            <w:tcW w:type="dxa" w:w="349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32А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32А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349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16х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10№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349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 (по классификатору)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клиента отправителя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I№№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OKPO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SFO№D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 (код суб-участника отправителя)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LS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FIO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клиента отправителя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платежа(*)</w:t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26Т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32В</w:t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14х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20х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50х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от- правителя платежа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отправителя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полу- чате- ля платежа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полу- чате- ля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клиента полу- чате- ля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SCHET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 (код суб-участника получателя)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P№P (персонифицированный номер пенсионера)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клиента получателя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Детали (назначение) платежа</w:t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57А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57А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14!№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10*50</w:t>
            </w:r>
          </w:p>
        </w:tc>
      </w:tr>
      <w:tr>
        <w:tc>
          <w:tcPr>
            <w:tcW w:type="dxa" w:w="1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в сумме разделитель дробной части запятая.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3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формате Dbf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Сводная ведомость-поручение в формате DBF заполняется для каждого платежа отдельной записью. Первая запись должна содержать заполненными только поля SUM_FILE и KOL_PLT, остальные поля для первой записи не заполняются. Начиная со второй записи, заполняется информация о каждом отдельном платеже и для них поля SUM_FILE и KOL_PLT не заполняются.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442"/>
        <w:gridCol w:w="529"/>
        <w:gridCol w:w="494"/>
        <w:gridCol w:w="389"/>
        <w:gridCol w:w="281"/>
        <w:gridCol w:w="558"/>
        <w:gridCol w:w="281"/>
        <w:gridCol w:w="228"/>
        <w:gridCol w:w="411"/>
        <w:gridCol w:w="421"/>
        <w:gridCol w:w="466"/>
        <w:gridCol w:w="350"/>
        <w:gridCol w:w="281"/>
        <w:gridCol w:w="319"/>
        <w:gridCol w:w="417"/>
        <w:gridCol w:w="193"/>
        <w:gridCol w:w="140"/>
        <w:gridCol w:w="417"/>
        <w:gridCol w:w="140"/>
        <w:gridCol w:w="460"/>
        <w:gridCol w:w="350"/>
        <w:gridCol w:w="350"/>
        <w:gridCol w:w="417"/>
        <w:gridCol w:w="140"/>
        <w:gridCol w:w="228"/>
        <w:gridCol w:w="480"/>
        <w:gridCol w:w="515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SUM_FILE</w:t>
            </w:r>
          </w:p>
        </w:tc>
        <w:tc>
          <w:tcPr>
            <w:tcW w:type="dxa" w:w="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KOL_PLT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TYPE_MSG</w:t>
            </w:r>
          </w:p>
        </w:tc>
        <w:tc>
          <w:tcPr>
            <w:tcW w:type="dxa" w:w="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TYPE_PLT</w:t>
            </w:r>
          </w:p>
        </w:tc>
        <w:tc>
          <w:tcPr>
            <w:tcW w:type="dxa" w:w="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DA- TE_VAL</w:t>
            </w:r>
          </w:p>
        </w:tc>
        <w:tc>
          <w:tcPr>
            <w:tcW w:type="dxa" w:w="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T52A_№AME</w:t>
            </w:r>
          </w:p>
        </w:tc>
        <w:tc>
          <w:tcPr>
            <w:tcW w:type="dxa" w:w="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T26T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</w:t>
            </w:r>
          </w:p>
        </w:tc>
        <w:tc>
          <w:tcPr>
            <w:tcW w:type="dxa" w:w="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T50_I№№</w:t>
            </w:r>
          </w:p>
        </w:tc>
        <w:tc>
          <w:tcPr>
            <w:tcW w:type="dxa" w:w="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T50_OKPO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T50_SFO№D</w:t>
            </w:r>
          </w:p>
        </w:tc>
        <w:tc>
          <w:tcPr>
            <w:tcW w:type="dxa" w:w="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T50_SUB</w:t>
            </w:r>
          </w:p>
        </w:tc>
        <w:tc>
          <w:tcPr>
            <w:tcW w:type="dxa" w:w="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T50_LS</w:t>
            </w:r>
          </w:p>
        </w:tc>
        <w:tc>
          <w:tcPr>
            <w:tcW w:type="dxa" w:w="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T50_FIO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T50_№AME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T32B</w:t>
            </w:r>
          </w:p>
        </w:tc>
        <w:tc>
          <w:tcPr>
            <w:tcW w:type="dxa" w:w="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T57_№AME</w:t>
            </w:r>
          </w:p>
        </w:tc>
        <w:tc>
          <w:tcPr>
            <w:tcW w:type="dxa" w:w="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T59_SCHET</w:t>
            </w:r>
          </w:p>
        </w:tc>
        <w:tc>
          <w:tcPr>
            <w:tcW w:type="dxa" w:w="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T59_SUB</w:t>
            </w:r>
          </w:p>
        </w:tc>
        <w:tc>
          <w:tcPr>
            <w:tcW w:type="dxa" w:w="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T59_P№P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T59_№AME</w:t>
            </w:r>
          </w:p>
        </w:tc>
        <w:tc>
          <w:tcPr>
            <w:tcW w:type="dxa" w:w="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T70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T70_1</w:t>
            </w:r>
          </w:p>
        </w:tc>
        <w:tc>
          <w:tcPr>
            <w:tcW w:type="dxa" w:w="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T77B_D№UM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T77B_DDATE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3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
 заполнения значений реквизитов в электронном файле сводной ведомости-поручения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2"/>
        <w:gridCol w:w="642"/>
        <w:gridCol w:w="1490"/>
        <w:gridCol w:w="1255"/>
        <w:gridCol w:w="1255"/>
        <w:gridCol w:w="1189"/>
        <w:gridCol w:w="3705"/>
      </w:tblGrid>
      <w:tr>
        <w:tc>
          <w:tcPr>
            <w:tcW w:type="dxa" w:w="12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Excel формат 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поля</w:t>
            </w:r>
          </w:p>
        </w:tc>
        <w:tc>
          <w:tcPr>
            <w:tcW w:type="dxa" w:w="25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Dbf формат</w:t>
            </w:r>
          </w:p>
        </w:tc>
        <w:tc>
          <w:tcPr>
            <w:tcW w:type="dxa" w:w="11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 Требование к обязательному заполнению (да, нет)</w:t>
            </w:r>
          </w:p>
        </w:tc>
        <w:tc>
          <w:tcPr>
            <w:tcW w:type="dxa" w:w="37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 Примечание к заполнению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Поле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Формат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Поле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Формат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32А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общая (в файле)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SUM_FILE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ric(15,2)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итоговая сумма всех платежей в данном файле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Кол-во платежей в файле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KOL_PLT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ric(10,0)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платежей в данном файле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сообщения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TYPE_MSG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ric(3,0)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Всегда заполняется 102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платежа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TYPE_PLT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ter(16)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выплатах всегда заполняются CREDIT, если с датой валютирования - CREDIT DATA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32А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расчета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DATE_VAL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дата расчета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отправителя платежа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отправителя платежа, согласно стандартам банковских идентификационных кодов и единым стандартам банковских счетов в системе безналичных расчетов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5*50x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отправителя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T52A_№AME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банка-отправителя платежа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26Т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 (по классификатору)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T26T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ric(8,0)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цифровой код платежа по назначению, согласно утвержденному Государственному классификатору платежного оборота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клиента отправителя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ter(16)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расчетный счет клиента, с которого производятся платежи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I№№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T50_I№№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ter(14)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ИНН клиента отправителя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OKPO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T50_OKPO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ric(8,0)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ОКПО клиента отправителя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14x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SFO№D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T50_SFO№D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ter(14)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регистрационный номер СФ Кыргызской Республики клиента отправителя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 (код суб-участника отправите- ля)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T50_SUB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поле заполняется только при участии суб-участников (ГП "Кыргыз- почтасы", РОСФ, РОК, крупные предприятия, предоставляющие жилищно-коммунальные услуги населению)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LS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T50_LS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Лицевой счет - заполняется только при оплате за жилищно-коммунальные услуги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FIO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T50_FIO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ter(50)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 - заполняется только при оплате за жилищно-коммунальные услуги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клиента отправителя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T50_№AME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клиента отправителя платежа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32В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платежа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T32B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ric(15,2)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по каждому получателю денежных средств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57А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получателя платежа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Проставляется БИК банка получателя платежа, согласно стандартам банковских идентификационных кодов и единым стандартам банковских счетов в системе безналичных расчетов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57А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получателя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T57_№AME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банка-получателя платежа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клиента получателя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расчетный счет клиента-получателя денежных средств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SCHET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T59_SCHET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для соответствующих отметок банка при переводе денег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 (код суб-участника получателя)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T59_SUB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субучастника системы, согласно справочнику о субучастниках СПК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P№P (персонифицированный номер пенсионера)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T59_P№P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ter(14)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персонифицированный номер пенсионера, присвоенный Социальным фондом Кыргызской Республики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клиента получателя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T59_№AME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клиента-получателя денежных средств, согласно заключенных договоров</w:t>
            </w:r>
          </w:p>
        </w:tc>
      </w:tr>
      <w:tr>
        <w:tc>
          <w:tcPr>
            <w:tcW w:type="dxa" w:w="6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6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10*50</w:t>
            </w:r>
          </w:p>
        </w:tc>
        <w:tc>
          <w:tcPr>
            <w:tcW w:type="dxa" w:w="1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Детали (назначение) платежа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T70 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 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</w:p>
        </w:tc>
        <w:tc>
          <w:tcPr>
            <w:tcW w:type="dxa" w:w="37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поле предназначено для детализации платежа, т.е. указывается период выплаты, форма выплаты (по контракту, согласно договору, сдельно и т.д.) или другая информация, относящаяся к данному платежу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T70_1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Нет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77В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первичного документа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T77B_D№UM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номер первичного документа, представленного клиентом-плательщиком денежных средств</w:t>
            </w:r>
          </w:p>
        </w:tc>
      </w:tr>
      <w:tr>
        <w:tc>
          <w:tcPr>
            <w:tcW w:type="dxa" w:w="6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77B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первичного документа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T77B_DDATE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дата первичного документа, представленного клиентом-плательщиком денежных средств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4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Формы электронных файлов сводной ведомости-поручения на прямое дебетование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формате Excel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Электронный файл сводной ведомости-поручения на прямое дебетование в формате Excel состоит из двух блоков: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первом блоке отражается информация, относящаяся ко всем платежам в файле;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второй блок содержит реквизиты каждого отдельного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поле 52А во входящем файле сводной ведомости заполняется в первом блоке, в исходящем файле - во втором блоке.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5"/>
        <w:gridCol w:w="1126"/>
        <w:gridCol w:w="924"/>
        <w:gridCol w:w="1181"/>
        <w:gridCol w:w="1245"/>
        <w:gridCol w:w="1095"/>
        <w:gridCol w:w="1241"/>
        <w:gridCol w:w="971"/>
        <w:gridCol w:w="971"/>
      </w:tblGrid>
      <w:tr>
        <w:tc>
          <w:tcPr>
            <w:tcW w:type="dxa" w:w="1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сообщения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платежа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обработки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общая (в файле)(*)</w:t>
            </w:r>
          </w:p>
        </w:tc>
        <w:tc>
          <w:tcPr>
            <w:tcW w:type="dxa" w:w="1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№UM (кол-во платежей в файле)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БИК банка отправителя платежа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банка отправителя</w:t>
            </w:r>
          </w:p>
        </w:tc>
        <w:tc>
          <w:tcPr>
            <w:tcW w:type="dxa" w:w="19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23E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32D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19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3!№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16х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10№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9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 (по классификатору)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клиента отправителя (получателя денежных средств)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SCHET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 код субучастника отправителя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клиента отправителя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отправителя платежа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отправителя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платежа(*)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получателя платежа</w:t>
            </w:r>
          </w:p>
        </w:tc>
      </w:tr>
      <w:tr>
        <w:tc>
          <w:tcPr>
            <w:tcW w:type="dxa" w:w="1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26T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50K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50K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50K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50K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52A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52A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32B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57A</w:t>
            </w:r>
          </w:p>
        </w:tc>
      </w:tr>
      <w:tr>
        <w:tc>
          <w:tcPr>
            <w:tcW w:type="dxa" w:w="1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5*50x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5*50x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</w:tr>
      <w:tr>
        <w:tc>
          <w:tcPr>
            <w:tcW w:type="dxa" w:w="1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3"/>
        <w:gridCol w:w="1052"/>
        <w:gridCol w:w="482"/>
        <w:gridCol w:w="637"/>
        <w:gridCol w:w="733"/>
        <w:gridCol w:w="1052"/>
        <w:gridCol w:w="434"/>
        <w:gridCol w:w="1293"/>
        <w:gridCol w:w="1158"/>
        <w:gridCol w:w="1022"/>
        <w:gridCol w:w="1022"/>
      </w:tblGrid>
      <w:tr>
        <w:tc>
          <w:tcPr>
            <w:tcW w:type="dxa" w:w="1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банка получателя</w:t>
            </w:r>
          </w:p>
        </w:tc>
        <w:tc>
          <w:tcPr>
            <w:tcW w:type="dxa" w:w="1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Счет клиента-получателя</w:t>
            </w:r>
          </w:p>
        </w:tc>
        <w:tc>
          <w:tcPr>
            <w:tcW w:type="dxa" w:w="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I№№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OKPO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SFO№D</w:t>
            </w:r>
          </w:p>
        </w:tc>
        <w:tc>
          <w:tcPr>
            <w:tcW w:type="dxa" w:w="1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SUB код суб-участника получателя</w:t>
            </w:r>
          </w:p>
        </w:tc>
        <w:tc>
          <w:tcPr>
            <w:tcW w:type="dxa" w:w="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LS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клиента получателя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Дета- ли (назначение) платежа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D№UM (номер первичного док-та)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DDATE (дата первичного док-та</w:t>
            </w:r>
          </w:p>
        </w:tc>
      </w:tr>
      <w:tr>
        <w:tc>
          <w:tcPr>
            <w:tcW w:type="dxa" w:w="1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57A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77B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77B</w:t>
            </w:r>
          </w:p>
        </w:tc>
      </w:tr>
      <w:tr>
        <w:tc>
          <w:tcPr>
            <w:tcW w:type="dxa" w:w="1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5*50x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14!№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14x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20x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5*50x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10*50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10x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</w:tr>
      <w:tr>
        <w:tc>
          <w:tcPr>
            <w:tcW w:type="dxa" w:w="1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в сумме разделитель дробной части запятая.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4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формате Dbf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Электронный файл сводной ведомости-поручения на прямое дебетование в формате DBF заполняется для каждого платежа отдельной записью. Первая запись должна содержать заполненными только поля SUM_FILE и KOL_PLT, остальные поля для первой записи не заполняются. Начиная со второй записи, заполняется информация о каждом отдельном платеже и для них поля SUM_FILE и KOL_PLT не заполняются.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444"/>
        <w:gridCol w:w="425"/>
        <w:gridCol w:w="391"/>
        <w:gridCol w:w="391"/>
        <w:gridCol w:w="283"/>
        <w:gridCol w:w="562"/>
        <w:gridCol w:w="283"/>
        <w:gridCol w:w="230"/>
        <w:gridCol w:w="415"/>
        <w:gridCol w:w="427"/>
        <w:gridCol w:w="476"/>
        <w:gridCol w:w="360"/>
        <w:gridCol w:w="291"/>
        <w:gridCol w:w="330"/>
        <w:gridCol w:w="427"/>
        <w:gridCol w:w="204"/>
        <w:gridCol w:w="151"/>
        <w:gridCol w:w="427"/>
        <w:gridCol w:w="151"/>
        <w:gridCol w:w="472"/>
        <w:gridCol w:w="360"/>
        <w:gridCol w:w="360"/>
        <w:gridCol w:w="427"/>
        <w:gridCol w:w="151"/>
        <w:gridCol w:w="238"/>
        <w:gridCol w:w="493"/>
        <w:gridCol w:w="525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SUM_FILE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KOL_PLT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TY- PE_MSG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TY- PE_PLT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DA- TE_VAL</w:t>
            </w:r>
          </w:p>
        </w:tc>
        <w:tc>
          <w:tcPr>
            <w:tcW w:type="dxa" w:w="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T52A_№AME</w:t>
            </w:r>
          </w:p>
        </w:tc>
        <w:tc>
          <w:tcPr>
            <w:tcW w:type="dxa" w:w="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T26T</w:t>
            </w:r>
          </w:p>
        </w:tc>
        <w:tc>
          <w:tcPr>
            <w:tcW w:type="dxa" w:w="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T50_I№№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T50_OKPO</w:t>
            </w:r>
          </w:p>
        </w:tc>
        <w:tc>
          <w:tcPr>
            <w:tcW w:type="dxa" w:w="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T50_SFO№D</w:t>
            </w:r>
          </w:p>
        </w:tc>
        <w:tc>
          <w:tcPr>
            <w:tcW w:type="dxa" w:w="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T50_SUB</w:t>
            </w:r>
          </w:p>
        </w:tc>
        <w:tc>
          <w:tcPr>
            <w:tcW w:type="dxa" w:w="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T50_LS</w:t>
            </w:r>
          </w:p>
        </w:tc>
        <w:tc>
          <w:tcPr>
            <w:tcW w:type="dxa" w:w="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T50_FIO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T50_№AME</w:t>
            </w:r>
          </w:p>
        </w:tc>
        <w:tc>
          <w:tcPr>
            <w:tcW w:type="dxa" w:w="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T32B</w:t>
            </w:r>
          </w:p>
        </w:tc>
        <w:tc>
          <w:tcPr>
            <w:tcW w:type="dxa" w:w="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T57_№AME</w:t>
            </w:r>
          </w:p>
        </w:tc>
        <w:tc>
          <w:tcPr>
            <w:tcW w:type="dxa" w:w="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T59_SCHET</w:t>
            </w:r>
          </w:p>
        </w:tc>
        <w:tc>
          <w:tcPr>
            <w:tcW w:type="dxa" w:w="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T59_SUB</w:t>
            </w:r>
          </w:p>
        </w:tc>
        <w:tc>
          <w:tcPr>
            <w:tcW w:type="dxa" w:w="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T59_P№P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T59_№AME</w:t>
            </w:r>
          </w:p>
        </w:tc>
        <w:tc>
          <w:tcPr>
            <w:tcW w:type="dxa" w:w="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T70</w:t>
            </w:r>
          </w:p>
        </w:tc>
        <w:tc>
          <w:tcPr>
            <w:tcW w:type="dxa" w:w="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T70_1</w:t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T77B_D№UM</w:t>
            </w:r>
          </w:p>
        </w:tc>
        <w:tc>
          <w:tcPr>
            <w:tcW w:type="dxa" w:w="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T77B_DDATE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4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
  заполнения значений реквизитов в файле сводной ведомости-поручения на прямое дебетование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4"/>
        <w:gridCol w:w="624"/>
        <w:gridCol w:w="1401"/>
        <w:gridCol w:w="1348"/>
        <w:gridCol w:w="1348"/>
        <w:gridCol w:w="1266"/>
        <w:gridCol w:w="3567"/>
      </w:tblGrid>
      <w:tr>
        <w:tc>
          <w:tcPr>
            <w:tcW w:type="dxa" w:w="124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Excel формат </w:t>
            </w:r>
          </w:p>
        </w:tc>
        <w:tc>
          <w:tcPr>
            <w:tcW w:type="dxa" w:w="1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поля</w:t>
            </w:r>
          </w:p>
        </w:tc>
        <w:tc>
          <w:tcPr>
            <w:tcW w:type="dxa" w:w="2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Dbf формат</w:t>
            </w:r>
          </w:p>
        </w:tc>
        <w:tc>
          <w:tcPr>
            <w:tcW w:type="dxa" w:w="12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 Требование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обязательному заполнению (да, нет)</w:t>
            </w:r>
          </w:p>
        </w:tc>
        <w:tc>
          <w:tcPr>
            <w:tcW w:type="dxa" w:w="35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 Примечание к заполнению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Поле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Формат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Формат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32В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общая (в файле)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SUM_FILE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ric(15,2)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итоговая сумма всех платежей в данном файле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 кол-во платежей в файле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KOL_PLT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ric(10,0)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общее количество платежей в данном файле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сообщения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TYPE_MSG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ric(3,0)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Всегда заполняется 104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23Е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16х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платежа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TYPE_PLT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ter(16)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выплатах всегда заполняются AUTH - прямое дебетование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обработки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DATE_VAL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обработки документа в формате ГГММДД. Дата расчета будет определяться по формуле: Дата расчета = дата обработки + межбанковская расчетная отсрочка. Дата расчета - не больше 5 дней. Отсрочка - 2 дня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отправителя платежа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отправителя платежа (получателя денежных средств), согласно стандартам банковских идентификационных кодов и единым стандартам банковских счетов в системе безналичных расчетов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52А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5*50x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отправителя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T52A_№AME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банка-отправителя платежа (получателя денежных средств)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 (по классификатору)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T26T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ric(8,0)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цифровой код назначения платежа, согласно утвержденному Государственному классификатору платежного оборота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клиента отправителя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расчетный счет клиента (получателя денежных средств), который заполняет электронную таблицу и передает в банк-агент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SCHET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T59_SCHET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для соответствующих отметок банка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 (код суб-участника отправителя)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T59_SUB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суб-участника системы (получателя денежных средств), согласно справочнику о суб-участниках СПК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50К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клиента отправителя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T50_№AME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клиента отправителя платежа (получателя денежных средств)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32В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15d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платежа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T32B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ric(15,2)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по каждому плательщику денежных средств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57А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 получателя платежа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Проставляется БИК банка плательщика денежных средств, согласно стандартам банковских идентификационных кодов и единым стандартам банковских счетов в системе безналичных расчетов. Банк плательщика удостоверяет платеж по прямому дебетованию и передает в систему подтверждение о возможности, либо невозможности проведения оплаты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57А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получателя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T57_№AME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ter(250)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банка плательщика денежных средств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клиента получателя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ter(16)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расчетный счет клиента-плательщика денежных средств, получателя требования к оплате за услуги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I№№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T50_I№№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ter(14)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ИНН плательщика денежных средств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OKPO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T50_OKPO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№ume- ric(8,0)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ОКПО плательщика денежных средств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14х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SFO№D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T50_SFO№D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Charac- ter(14)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регистрационный номер СФ Кыргызской Республики клиента плательщика денежных средств, согласно соответствующему классификатору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 (код суб-участника получателя)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T59_SUB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№umeric(6,0)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суб-участника системы (плательщика денежных средств), согласно справочнику о суб-участниках СПК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20х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LS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T50_LS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Character(20)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Лицевой счет - заполняется только при оплате за жилищно-коммунальные услуги. Указывается лицевой счет плательщика, согласно документу, представленному ему на оплату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5*50х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клиента получателя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T59_№AME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Characte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r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(250)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полное наименование клиента-получателя денежных средств, согласно заключенных договоров</w:t>
            </w:r>
          </w:p>
        </w:tc>
      </w:tr>
      <w:tr>
        <w:tc>
          <w:tcPr>
            <w:tcW w:type="dxa" w:w="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6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10*50</w:t>
            </w:r>
          </w:p>
        </w:tc>
        <w:tc>
          <w:tcPr>
            <w:tcW w:type="dxa" w:w="14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Детали (назначение) платежа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Character(250)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поле предназначено для детализации платежа, т.е. указывается период выплаты, форма выплаты (по контракту, согласно договору, сдельно и т.д.) или другая информация, относящаяся к данному платежу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T70_1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Character(250)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77В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10х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первичного документа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T77B_D№UM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Charac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t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er(10)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номер первичного документа, представленного плательщику на оплату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77В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6!№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первичного документа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T77B_DDATE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№umeric(6,0)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дата первичного документа, представленного плательщику на оплату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5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Форма мемориального ордера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ishikabpxmu_lqrz2wna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МЕМОРИАЛДЫК ОРДЕР № (1)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Дата (2)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1417"/>
        <w:gridCol w:w="1517"/>
        <w:gridCol w:w="2675"/>
        <w:gridCol w:w="1138"/>
        <w:gridCol w:w="1093"/>
        <w:gridCol w:w="1856"/>
        <w:gridCol w:w="14"/>
      </w:tblGrid>
      <w:tr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↕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↕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↕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(5)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Толоочунун банкы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плательщика (7)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↕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381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 ↕</w:t>
            </w:r>
          </w:p>
        </w:tc>
        <w:tc>
          <w:tcPr>
            <w:tcW w:type="dxa" w:w="10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(10) 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 (9)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 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БИК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(11)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Алуучунун банкы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 (12)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 ↕</w:t>
            </w:r>
          </w:p>
        </w:tc>
        <w:tc>
          <w:tcPr>
            <w:tcW w:type="dxa" w:w="56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соз менен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 (13) 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 ↕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(14)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 ↕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 коду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(15)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Толоонун багыты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 (16)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 ↕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Кол тамгасы (17)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 банктын белгиси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Отметки банка плательщика (18) 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ß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-------------------------------------------------------------------------------------------------------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</w:t>
            </w:r>
          </w:p>
        </w:tc>
        <w:tc>
          <w:tcPr>
            <w:tcW w:type="dxa" w:w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5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
  заполнения значений реквизитов мемориального ордера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1962"/>
        <w:gridCol w:w="4696"/>
        <w:gridCol w:w="3147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4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поля</w:t>
            </w:r>
          </w:p>
        </w:tc>
        <w:tc>
          <w:tcPr>
            <w:tcW w:type="dxa" w:w="3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Требование к обязательному заполнению плательщиком поля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Мемориальный ордер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платежного документа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порядковый номер документа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Проставляется дата составления мемориального ордера. Указываются число, месяц, год - цифрами (в формате ДД.ММ.ГГГГ), или число - арабскими цифрами, месяц прописью, год - арабскими цифрами (полностью)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8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(Утратила силу в соответствии с </w:t>
            </w:r>
            <w:hyperlink w:history="1" r:id="rIdfhxej7cdv5qfapxlztt4x">
              <w:r>
                <w:rPr>
                  <w:rFonts w:ascii="Arial" w:cs="Arial" w:eastAsia="Arial" w:hAnsi="Arial"/>
                  <w:i/>
                  <w:iCs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 Правления Нацбанка КР от 8 июня 2017 года № 2017-П-14/23-11)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(если он присвоен)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БИК (банковский идентификационный код) банка плательщика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плательщика средств. Допускаются общепринятые сокращения (ОАО, ОсОО и т.п.). В случае, если плательщик является физическим лицом, указываются его ФИО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 согласно заключенных договоров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плательщика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плательщика. Допускаются сокращения, закрепленные в Уставе банка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 Счет №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в банке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получателя денежных средств. Допускаются общепринятые сокращения (ОАО, ОсОО и т.п.)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 Счет № </w:t>
            </w:r>
          </w:p>
        </w:tc>
        <w:tc>
          <w:tcPr>
            <w:tcW w:type="dxa" w:w="4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в банке. Предусмотрено два поля в целях обеспечения проставления во втором из них соответствующих отметок банка при переводе денег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БИК (банковский идентификационный код) банка-получателя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получателя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получателя. Допускаются сокращения, закрепленные в Уставе банка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прописью в сомах с начала строки с заглавной буквы, при этом слово "сом" ("сомов", "сома") не сокращается, тыйыны указываются цифрами, слово "тыйын" ("тыйыны", "тыйынов") также не сокращается. Если сумма платежа выражена в целых сомах, то тыйыны можно не указывать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цифрами, сомы отделяются от тыйынов знаком тире "-". Если сумма платежа прописью выражена в целых сомах, то в этом поле указываются сумма платежа цифрами в сомах и знак равенства "="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код платежа согласно утвержденному Государственному классификатору платежного оборота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назначение платежа, наименование товара, выполненных работ, оказанных услуг, номера и даты товарных документов, договоров, налоги, коды внутриведомственных классификаторов, а также другая необходимая информация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 (подпись) уполномоченных лиц (лица) плательщика, имеющих право подписи на финансовых документах, согласно заявленному плательщиком образцу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Отметки банка</w:t>
            </w:r>
          </w:p>
        </w:tc>
        <w:tc>
          <w:tcPr>
            <w:tcW w:type="dxa" w:w="4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Проставляются подписи сотрудников банка и штамп банка, подтверждающие факт проведения платежа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6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 (В редакции постановления Правления Нацбанка КР от </w:t>
      </w:r>
      <w:hyperlink w:history="1" r:id="rIdc5dhgyhmqw5ovnbgyk950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85"/>
        <w:gridCol w:w="1893"/>
      </w:tblGrid>
      <w:tr>
        <w:tc>
          <w:tcPr>
            <w:tcW w:type="dxa" w:w="82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НАКТАЛАЙ ТОЛОМГО БИЛДИРМЕ №</w:t>
            </w:r>
          </w:p>
        </w:tc>
        <w:tc>
          <w:tcPr>
            <w:tcW w:type="dxa" w:w="18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ОБЪЯВЛЕНИЕ НА ВЗНОС НАЛИЧНЫМИ №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"___" ____________________ 20 ____  ж.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                       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5"/>
        <w:gridCol w:w="2203"/>
        <w:gridCol w:w="2203"/>
        <w:gridCol w:w="1457"/>
      </w:tblGrid>
      <w:tr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вносителя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Салуучунун аталышы</w:t>
            </w:r>
          </w:p>
        </w:tc>
        <w:tc>
          <w:tcPr>
            <w:tcW w:type="dxa" w:w="44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эсепке чегеруу учун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зачисления на счет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*ОКПО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цифра менен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цифрами</w:t>
            </w:r>
          </w:p>
        </w:tc>
      </w:tr>
      <w:tr>
        <w:tc>
          <w:tcPr>
            <w:tcW w:type="dxa" w:w="872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*ИНН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72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** Регистр. № СФ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58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Алуучунун банкы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жазуу жузундо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             тыйын</w:t>
            </w:r>
          </w:p>
        </w:tc>
      </w:tr>
      <w:tr>
        <w:tc>
          <w:tcPr>
            <w:tcW w:type="dxa" w:w="87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Толоом багыты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</w:t>
            </w:r>
          </w:p>
        </w:tc>
      </w:tr>
      <w:tr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Салуучунун колтамгасы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 вносителя</w:t>
            </w:r>
          </w:p>
        </w:tc>
        <w:tc>
          <w:tcPr>
            <w:tcW w:type="dxa" w:w="44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</w:tr>
      <w:tr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44"/>
        <w:gridCol w:w="417"/>
        <w:gridCol w:w="417"/>
      </w:tblGrid>
      <w:tr>
        <w:tc>
          <w:tcPr>
            <w:tcW w:type="dxa" w:w="93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НАКТАЛАЙ ТОЛОМГО БЕРИЛГЕН КВИТАНЦИЯ 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КВИТАНЦИЯ НА ВЗНОС НАЛИЧНЫМИ №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"___" ____________________ 20 ____ ж.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0"/>
        <w:gridCol w:w="1610"/>
        <w:gridCol w:w="1610"/>
        <w:gridCol w:w="1990"/>
        <w:gridCol w:w="1990"/>
        <w:gridCol w:w="1368"/>
      </w:tblGrid>
      <w:tr>
        <w:tc>
          <w:tcPr>
            <w:tcW w:type="dxa" w:w="483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вносителя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Салуучунун аталышы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эсепке чегеруу учун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зачисления на счет №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*ОКПО</w:t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цифра менен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цифрами</w:t>
            </w:r>
          </w:p>
        </w:tc>
      </w:tr>
      <w:tr>
        <w:tc>
          <w:tcPr>
            <w:tcW w:type="dxa" w:w="68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*ИНН</w:t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68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** Регистр. № СФ Кыргызской Республики</w:t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2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69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Алуучунун банкы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жазуу жузундо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    тыйын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Толоом багыты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Назначение платежа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</w:t>
            </w:r>
          </w:p>
        </w:tc>
      </w:tr>
      <w:tr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М.П.</w:t>
            </w:r>
          </w:p>
        </w:tc>
        <w:tc>
          <w:tcPr>
            <w:tcW w:type="dxa" w:w="72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</w:tr>
      <w:tr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8761"/>
        <w:gridCol w:w="472"/>
        <w:gridCol w:w="472"/>
      </w:tblGrid>
      <w:tr>
        <w:tc>
          <w:tcPr>
            <w:tcW w:type="dxa" w:w="47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ОРДЕР 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"___" ____________________ 20 ____ ж. г.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5"/>
        <w:gridCol w:w="1021"/>
        <w:gridCol w:w="1021"/>
        <w:gridCol w:w="332"/>
        <w:gridCol w:w="1810"/>
      </w:tblGrid>
      <w:tr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вносителя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Салуучунун аталышы</w:t>
            </w:r>
          </w:p>
        </w:tc>
        <w:tc>
          <w:tcPr>
            <w:tcW w:type="dxa" w:w="20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 сч. №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КРЕДИТ сч. №</w:t>
            </w:r>
          </w:p>
        </w:tc>
        <w:tc>
          <w:tcPr>
            <w:tcW w:type="dxa" w:w="3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цифра менен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цифрами</w:t>
            </w:r>
          </w:p>
        </w:tc>
      </w:tr>
      <w:tr>
        <w:tc>
          <w:tcPr>
            <w:tcW w:type="dxa" w:w="8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*ИНН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** Регистр. № СФ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41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Алуучунун банкы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жазуу жузундо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</w:tc>
      </w:tr>
      <w:tr>
        <w:tc>
          <w:tcPr>
            <w:tcW w:type="dxa" w:w="70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             тыйын</w:t>
            </w:r>
          </w:p>
        </w:tc>
      </w:tr>
      <w:tr>
        <w:tc>
          <w:tcPr>
            <w:tcW w:type="dxa" w:w="70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Толоонун багыты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</w:t>
            </w:r>
          </w:p>
        </w:tc>
        <w:tc>
          <w:tcPr>
            <w:tcW w:type="dxa" w:w="31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</w:t>
            </w:r>
          </w:p>
        </w:tc>
      </w:tr>
      <w:tr>
        <w:tc>
          <w:tcPr>
            <w:tcW w:type="dxa" w:w="5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Бухгалтер Кассир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реквизиты обязательные к заполнению только юридическими лицами и индивидуальными предпринимателями;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юридикалык жактар жана жеке ишкерлер тарабынан гана милдетуу турдо толторулучуу реквизиттер;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реквизит обязательный к заполнению при уплате взносов на социальное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милдетуу турдо социалдык камсыздандыруу толомдору толонгондо гана толторулучу реквизит.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Продолжение Приложения 6
  к Инструкции о порядке заполнения платежных документов, утвержденной постановлением Правления Национального банка Кыргызской Республики
 от 25 июля 2007 года № 36/5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
  заполнения значений реквизитов Объявления на взнос наличными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1413"/>
        <w:gridCol w:w="5480"/>
        <w:gridCol w:w="2913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5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поля</w:t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Требование к обязательному заполнению плательщиком поля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Объявление на взнос наличными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кассового документа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Квитанция на взнос наличными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Ордер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порядковый номер документа (единый для всех частей кассового документа)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Проставляется дата составления кассового документа. Указываются число, месяц, год - цифрами (в формате ДДММГГГГ), или число - арабскими цифрами, месяц прописью, год - арабскими цифрами (полностью)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вносителя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вносителя наличных денежных средств. Допускаются общепринятые сокращения (ОАО, ОсОО и т.п.). В случае, если вноситель наличных денежных средств является физическим лицом, указываются его ФИО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код плательщика, вносителя наличных денежных средств - ОКПО, присваиваемый в соответствии с законодательством Кыргызской Республики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Регистр. № СФ Кыргызской Республики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регистрационный (для юридических лиц), идентификационный (для физических лиц) номер Социального фонда Кыргызской Республики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при уплате взносов на социальное страхование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получателя денежных средств. Допускаются общепринятые сокращения (ОАО, ОсОО и т.п.)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плательщика. Допускаются сокращения, закрепленные в Уставе банка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зачисления на счет №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номер банковского счета получателя денежных средств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 Счет №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в банке получателя денежных средств, (значение данного поля идентичны значению поля "для зачисления на счет №")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 Счет №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кассового счета банка получателя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цифрами, сомы отделяются от тыйынов знаком тире "-". Если сумма платежа прописью выражена в целых сомах, то в этом поле указываются сумма платежа цифрами в сомах и знак равенства "="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сумма платежа прописью в сомах с начала строки с заглавной буквы, при этом слово "сом" ("сомов", "сома") не сокращается, тыйыны указываются цифрами, слово "тыйын" ("тыйыны", "тыйынов") также не сокращается. Если сумма платежа выражена в целых сомах, то тыйыны можно не указывать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назначение платежа, наименование товара, выполненных работ, оказанных услуг, номера и даты товарных документов, договоров, налоги, коды внутриведомственных классификаторов, а также другая необходимая информация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 в соответствии с утвержденным Государственным классификатором платежного оборота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 вносителя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 вносителя денежных средств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Кассир, бухгалтер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 уполномоченных лиц финансово-кредитной организации, подтверждающие факт проведения платежа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М.П.</w:t>
            </w:r>
          </w:p>
        </w:tc>
        <w:tc>
          <w:tcPr>
            <w:tcW w:type="dxa" w:w="5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Оттиск печати финансово-кредитной организации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fm2eymeo-pmhyqb1q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dalil.kg/document/301145</w:t>
      </w:r>
    </w:hyperlink>
  </w:p>
  <w:p>
    <w:pPr>
      <w:spacing w:after="0" w:before="40"/>
      <w:jc w:val="center"/>
    </w:pPr>
    <w:hyperlink w:history="1" r:id="rIdu5ukddloiqo2von1p6s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evocixfz5p3hesk8lrt" Type="http://schemas.openxmlformats.org/officeDocument/2006/relationships/hyperlink" Target="https://dalil.kg/document/301144" TargetMode="External"/><Relationship Id="rId3xmxjxavyjt1ypvnpdcyq" Type="http://schemas.openxmlformats.org/officeDocument/2006/relationships/hyperlink" Target="https://dalil.kg/document/800025" TargetMode="External"/><Relationship Id="rIdu8pidwi5mh8_kykqipwfb" Type="http://schemas.openxmlformats.org/officeDocument/2006/relationships/hyperlink" Target="https://dalil.kg/document/800025" TargetMode="External"/><Relationship Id="rIdu1ezdzfxv7fmbqxxsii4y" Type="http://schemas.openxmlformats.org/officeDocument/2006/relationships/hyperlink" Target="https://dalil.kg/document/800025" TargetMode="External"/><Relationship Id="rIdmj5gks7m_ofe59-zgcwbc" Type="http://schemas.openxmlformats.org/officeDocument/2006/relationships/hyperlink" Target="https://dalil.kg/document/800025" TargetMode="External"/><Relationship Id="rIdtuexmjgmmt_gqywu3moyv" Type="http://schemas.openxmlformats.org/officeDocument/2006/relationships/hyperlink" Target="https://dalil.kg/document/800025" TargetMode="External"/><Relationship Id="rIdijogexfgtgsvrsud5b8lz" Type="http://schemas.openxmlformats.org/officeDocument/2006/relationships/hyperlink" Target="https://dalil.kg/document/800025" TargetMode="External"/><Relationship Id="rId7ltarnszqza1bad3xpe0d" Type="http://schemas.openxmlformats.org/officeDocument/2006/relationships/hyperlink" Target="https://dalil.kg/document/800025" TargetMode="External"/><Relationship Id="rIdlow5dnwmtdad1htirmnn2" Type="http://schemas.openxmlformats.org/officeDocument/2006/relationships/hyperlink" Target="https://dalil.kg/document/800025" TargetMode="External"/><Relationship Id="rIdjk6m2nlxtuqe9dgyifrsl" Type="http://schemas.openxmlformats.org/officeDocument/2006/relationships/hyperlink" Target="https://dalil.kg/document/300740" TargetMode="External"/><Relationship Id="rIdljgfw-btu33byz9nydcuz" Type="http://schemas.openxmlformats.org/officeDocument/2006/relationships/hyperlink" Target="https://dalil.kg/document/300739" TargetMode="External"/><Relationship Id="rIdbec_4alo53ugbzuhqgwst" Type="http://schemas.openxmlformats.org/officeDocument/2006/relationships/hyperlink" Target="https://dalil.kg/document/800025" TargetMode="External"/><Relationship Id="rIda8mztyrgakwy1nkk2zduy" Type="http://schemas.openxmlformats.org/officeDocument/2006/relationships/hyperlink" Target="https://dalil.kg/document/301145#pr1" TargetMode="External"/><Relationship Id="rIdwwdknyybchm4n7ghsyfrt" Type="http://schemas.openxmlformats.org/officeDocument/2006/relationships/hyperlink" Target="https://dalil.kg/document/800025" TargetMode="External"/><Relationship Id="rIddicv_l0kwnbz9ra-5gukv" Type="http://schemas.openxmlformats.org/officeDocument/2006/relationships/hyperlink" Target="https://dalil.kg/document/301145#pr2" TargetMode="External"/><Relationship Id="rIdlty2lnnm0f5uhh98rs6bg" Type="http://schemas.openxmlformats.org/officeDocument/2006/relationships/hyperlink" Target="https://dalil.kg/document/301145#pr3" TargetMode="External"/><Relationship Id="rIdse6s8adhbu-ivmn5bl5y1" Type="http://schemas.openxmlformats.org/officeDocument/2006/relationships/hyperlink" Target="https://dalil.kg/document/800025" TargetMode="External"/><Relationship Id="rIdrjqm1g3ptc5-htvaoyle3" Type="http://schemas.openxmlformats.org/officeDocument/2006/relationships/hyperlink" Target="https://dalil.kg/document/301145#pr4" TargetMode="External"/><Relationship Id="rIdqzontoaipv2o4cazze_14" Type="http://schemas.openxmlformats.org/officeDocument/2006/relationships/hyperlink" Target="https://dalil.kg/document/800025" TargetMode="External"/><Relationship Id="rIdd6n_kby-ssyve4zpza429" Type="http://schemas.openxmlformats.org/officeDocument/2006/relationships/hyperlink" Target="https://dalil.kg/document/301145#pr5" TargetMode="External"/><Relationship Id="rIdfnph-z-tfmflqq3rci7am" Type="http://schemas.openxmlformats.org/officeDocument/2006/relationships/hyperlink" Target="https://dalil.kg/document/800025" TargetMode="External"/><Relationship Id="rIdfw0inh2_wfk4tzpddjx76" Type="http://schemas.openxmlformats.org/officeDocument/2006/relationships/hyperlink" Target="https://dalil.kg/document/301145#pr6" TargetMode="External"/><Relationship Id="rIdrkctf5uk8awoax5j7sonj" Type="http://schemas.openxmlformats.org/officeDocument/2006/relationships/hyperlink" Target="https://dalil.kg/document/800025" TargetMode="External"/><Relationship Id="rIdilb5eldtys9rwwjxdzw52" Type="http://schemas.openxmlformats.org/officeDocument/2006/relationships/hyperlink" Target="https://dalil.kg/document/800025" TargetMode="External"/><Relationship Id="rId4ddiqhmlyaa9wkgwdpdxx" Type="http://schemas.openxmlformats.org/officeDocument/2006/relationships/hyperlink" Target="https://dalil.kg/document/800025" TargetMode="External"/><Relationship Id="rIdry8aiz0bv3no9tqsg0zcv" Type="http://schemas.openxmlformats.org/officeDocument/2006/relationships/hyperlink" Target="https://dalil.kg/document/800025" TargetMode="External"/><Relationship Id="rIdishikabpxmu_lqrz2wnaa" Type="http://schemas.openxmlformats.org/officeDocument/2006/relationships/hyperlink" Target="https://dalil.kg/document/301145" TargetMode="External"/><Relationship Id="rIdfhxej7cdv5qfapxlztt4x" Type="http://schemas.openxmlformats.org/officeDocument/2006/relationships/hyperlink" Target="https://dalil.kg/document/800025" TargetMode="External"/><Relationship Id="rIdc5dhgyhmqw5ovnbgyk950" Type="http://schemas.openxmlformats.org/officeDocument/2006/relationships/hyperlink" Target="https://dalil.kg/document/800025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fm2eymeo-pmhyqb1qfq" Type="http://schemas.openxmlformats.org/officeDocument/2006/relationships/hyperlink" Target="https://dalil.kg/document/301145" TargetMode="External"/><Relationship Id="rIdu5ukddloiqo2von1p6s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2026-09-25T10:37:17.650Z</dcterms:created>
  <dcterms:modified xsi:type="dcterms:W3CDTF">2026-09-25T10:37:17.650Z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