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ykvxx9jjosoyawroi8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26 августа 2009 года № 35/3 </w:t>
      </w:r>
    </w:p>
    <w:p>
      <w:pPr>
        <w:spacing w:after="120"/>
        <w:jc w:val="both"/>
      </w:pPr>
      <w:r>
        <w:rPr>
          <w:rFonts w:ascii="Arial" w:cs="Arial" w:eastAsia="Arial" w:hAnsi="Arial"/>
          <w:sz w:val="24"/>
          <w:szCs w:val="24"/>
        </w:rPr>
        <w:t xml:space="preserve">Положение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trf0l7q1d3mfecybbymsv">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zkyiu7pap2w1b3dd9l5q5">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orlecxzomnltazkzgyz5z">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z6mab7adkckgzwly4bbsv">
        <w:r>
          <w:rPr>
            <w:rFonts w:ascii="Arial" w:cs="Arial" w:eastAsia="Arial" w:hAnsi="Arial"/>
            <w:color w:val="1D4ED8"/>
            <w:sz w:val="24"/>
            <w:szCs w:val="24"/>
            <w:u w:val="single"/>
          </w:rPr>
          <w:t xml:space="preserve">"О драгоценных металлах и драгоценных камнях"</w:t>
        </w:r>
      </w:hyperlink>
      <w:r>
        <w:rPr>
          <w:rFonts w:ascii="Arial" w:cs="Arial" w:eastAsia="Arial" w:hAnsi="Arial"/>
          <w:sz w:val="24"/>
          <w:szCs w:val="24"/>
        </w:rPr>
        <w:t xml:space="preserve"> и устанавливает требования Национального банка Кыргызской Республики к проведению коммерческими банками Кыргызской Республики операций с драгоценными металлами.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dyrn_cpfo32_t8mrpghg">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Термины, применяемые в рамках настоящего Положения:</w:t>
      </w:r>
    </w:p>
    <w:p>
      <w:pPr>
        <w:spacing w:after="120"/>
        <w:jc w:val="both"/>
      </w:pPr>
      <w:r>
        <w:rPr>
          <w:rFonts w:ascii="Arial" w:cs="Arial" w:eastAsia="Arial" w:hAnsi="Arial"/>
          <w:sz w:val="24"/>
          <w:szCs w:val="24"/>
        </w:rPr>
        <w:t xml:space="preserve">1.2.1. </w:t>
      </w:r>
      <w:r>
        <w:rPr>
          <w:rFonts w:ascii="Arial" w:cs="Arial" w:eastAsia="Arial" w:hAnsi="Arial"/>
          <w:b/>
          <w:bCs/>
          <w:sz w:val="24"/>
          <w:szCs w:val="24"/>
        </w:rPr>
        <w:t xml:space="preserve">Драгоценные металлы</w:t>
      </w:r>
      <w:r>
        <w:rPr>
          <w:rFonts w:ascii="Arial" w:cs="Arial" w:eastAsia="Arial" w:hAnsi="Arial"/>
          <w:sz w:val="24"/>
          <w:szCs w:val="24"/>
        </w:rPr>
        <w:t xml:space="preserve"> - это:</w:t>
      </w:r>
    </w:p>
    <w:p>
      <w:pPr>
        <w:spacing w:after="120"/>
        <w:jc w:val="both"/>
      </w:pPr>
      <w:r>
        <w:rPr>
          <w:rFonts w:ascii="Arial" w:cs="Arial" w:eastAsia="Arial" w:hAnsi="Arial"/>
          <w:sz w:val="24"/>
          <w:szCs w:val="24"/>
        </w:rPr>
        <w:t xml:space="preserve">- золото в аффинированных стандартных и мерных слитках;</w:t>
      </w:r>
    </w:p>
    <w:p>
      <w:pPr>
        <w:spacing w:after="120"/>
        <w:jc w:val="both"/>
      </w:pPr>
      <w:r>
        <w:rPr>
          <w:rFonts w:ascii="Arial" w:cs="Arial" w:eastAsia="Arial" w:hAnsi="Arial"/>
          <w:sz w:val="24"/>
          <w:szCs w:val="24"/>
        </w:rPr>
        <w:t xml:space="preserve">- серебро в аффинированных стандартных и мерных слитках;</w:t>
      </w:r>
    </w:p>
    <w:p>
      <w:pPr>
        <w:spacing w:after="120"/>
        <w:jc w:val="both"/>
      </w:pPr>
      <w:r>
        <w:rPr>
          <w:rFonts w:ascii="Arial" w:cs="Arial" w:eastAsia="Arial" w:hAnsi="Arial"/>
          <w:sz w:val="24"/>
          <w:szCs w:val="24"/>
        </w:rPr>
        <w:t xml:space="preserve">- платина в аффинированных стандартных и мерных слитках.</w:t>
      </w:r>
    </w:p>
    <w:p>
      <w:pPr>
        <w:spacing w:after="120"/>
        <w:jc w:val="both"/>
      </w:pPr>
      <w:r>
        <w:rPr>
          <w:rFonts w:ascii="Arial" w:cs="Arial" w:eastAsia="Arial" w:hAnsi="Arial"/>
          <w:sz w:val="24"/>
          <w:szCs w:val="24"/>
        </w:rPr>
        <w:t xml:space="preserve">1.2.2. </w:t>
      </w:r>
      <w:r>
        <w:rPr>
          <w:rFonts w:ascii="Arial" w:cs="Arial" w:eastAsia="Arial" w:hAnsi="Arial"/>
          <w:b/>
          <w:bCs/>
          <w:sz w:val="24"/>
          <w:szCs w:val="24"/>
        </w:rPr>
        <w:t xml:space="preserve">Аффинированные стандартные слитки драгоценных металлов</w:t>
      </w:r>
      <w:r>
        <w:rPr>
          <w:rFonts w:ascii="Arial" w:cs="Arial" w:eastAsia="Arial" w:hAnsi="Arial"/>
          <w:sz w:val="24"/>
          <w:szCs w:val="24"/>
        </w:rPr>
        <w:t xml:space="preserve"> - изготовленные и маркированные слитки драгоценных металлов и соответствующие Международным стандартам качества, принятым Лондонской ассоциацией рынка драгоценных металлов (</w:t>
      </w:r>
      <w:hyperlink w:history="1" r:id="rIdzragu2dyrump6ouudl4g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 </w:t>
      </w:r>
      <w:r>
        <w:rPr>
          <w:rFonts w:ascii="Arial" w:cs="Arial" w:eastAsia="Arial" w:hAnsi="Arial"/>
          <w:b/>
          <w:bCs/>
          <w:sz w:val="24"/>
          <w:szCs w:val="24"/>
        </w:rPr>
        <w:t xml:space="preserve">Аффинированные мерные слитки</w:t>
      </w:r>
      <w:r>
        <w:rPr>
          <w:rFonts w:ascii="Arial" w:cs="Arial" w:eastAsia="Arial" w:hAnsi="Arial"/>
          <w:sz w:val="24"/>
          <w:szCs w:val="24"/>
        </w:rPr>
        <w:t xml:space="preserve"> - изготовленные и маркированные слитки из драгоценных металлов, эмитируемые (выпускаемые) Национальным банком Кыргызской Республики или аффинажным предприятием, сертифицированным Лондонской ассоциацией рынка драгоценных металлов, массой 1000 грамм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120"/>
        <w:jc w:val="both"/>
      </w:pPr>
      <w:r>
        <w:rPr>
          <w:rFonts w:ascii="Arial" w:cs="Arial" w:eastAsia="Arial" w:hAnsi="Arial"/>
          <w:sz w:val="24"/>
          <w:szCs w:val="24"/>
        </w:rPr>
        <w:t xml:space="preserve">1.2.4. </w:t>
      </w:r>
      <w:r>
        <w:rPr>
          <w:rFonts w:ascii="Arial" w:cs="Arial" w:eastAsia="Arial" w:hAnsi="Arial"/>
          <w:b/>
          <w:bCs/>
          <w:sz w:val="24"/>
          <w:szCs w:val="24"/>
        </w:rPr>
        <w:t xml:space="preserve">Операции с драгоценными металлами</w:t>
      </w:r>
      <w:r>
        <w:rPr>
          <w:rFonts w:ascii="Arial" w:cs="Arial" w:eastAsia="Arial" w:hAnsi="Arial"/>
          <w:sz w:val="24"/>
          <w:szCs w:val="24"/>
        </w:rPr>
        <w:t xml:space="preserve"> - это действия, выражающиеся в переходе права собственности и иных имущественных прав на драгоценные металлы; перемещение, в том числе транспортировка и хранение слитков драгоценных металлов.</w:t>
      </w:r>
    </w:p>
    <w:p>
      <w:pPr>
        <w:spacing w:after="120"/>
        <w:jc w:val="both"/>
      </w:pPr>
      <w:r>
        <w:rPr>
          <w:rFonts w:ascii="Arial" w:cs="Arial" w:eastAsia="Arial" w:hAnsi="Arial"/>
          <w:i/>
          <w:iCs/>
          <w:sz w:val="24"/>
          <w:szCs w:val="24"/>
        </w:rPr>
        <w:t xml:space="preserve">1.2.5. (Утратил силу в соответствии с </w:t>
      </w:r>
      <w:hyperlink w:history="1" r:id="rId-hp0tr7ovu8hpnwfegc3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июля 2015 года № 38/1)</w:t>
      </w:r>
    </w:p>
    <w:p>
      <w:pPr>
        <w:spacing w:after="120"/>
        <w:jc w:val="both"/>
      </w:pPr>
      <w:r>
        <w:rPr>
          <w:rFonts w:ascii="Arial" w:cs="Arial" w:eastAsia="Arial" w:hAnsi="Arial"/>
          <w:sz w:val="24"/>
          <w:szCs w:val="24"/>
        </w:rPr>
        <w:t xml:space="preserve">1.2.6. </w:t>
      </w:r>
      <w:r>
        <w:rPr>
          <w:rFonts w:ascii="Arial" w:cs="Arial" w:eastAsia="Arial" w:hAnsi="Arial"/>
          <w:b/>
          <w:bCs/>
          <w:sz w:val="24"/>
          <w:szCs w:val="24"/>
        </w:rPr>
        <w:t xml:space="preserve">Лигатурная (брутто) масса</w:t>
      </w:r>
      <w:r>
        <w:rPr>
          <w:rFonts w:ascii="Arial" w:cs="Arial" w:eastAsia="Arial" w:hAnsi="Arial"/>
          <w:sz w:val="24"/>
          <w:szCs w:val="24"/>
        </w:rPr>
        <w:t xml:space="preserve"> - фактическая общая масса сплава, содержащего драгоценный металл.</w:t>
      </w:r>
    </w:p>
    <w:p>
      <w:pPr>
        <w:spacing w:after="120"/>
        <w:jc w:val="both"/>
      </w:pPr>
      <w:r>
        <w:rPr>
          <w:rFonts w:ascii="Arial" w:cs="Arial" w:eastAsia="Arial" w:hAnsi="Arial"/>
          <w:sz w:val="24"/>
          <w:szCs w:val="24"/>
        </w:rPr>
        <w:t xml:space="preserve">1.2.7. </w:t>
      </w:r>
      <w:r>
        <w:rPr>
          <w:rFonts w:ascii="Arial" w:cs="Arial" w:eastAsia="Arial" w:hAnsi="Arial"/>
          <w:b/>
          <w:bCs/>
          <w:sz w:val="24"/>
          <w:szCs w:val="24"/>
        </w:rPr>
        <w:t xml:space="preserve">Одна тройская унция</w:t>
      </w:r>
      <w:r>
        <w:rPr>
          <w:rFonts w:ascii="Arial" w:cs="Arial" w:eastAsia="Arial" w:hAnsi="Arial"/>
          <w:sz w:val="24"/>
          <w:szCs w:val="24"/>
        </w:rPr>
        <w:t xml:space="preserve"> - это мера массы, составляющая 31,1035 г.</w:t>
      </w:r>
    </w:p>
    <w:p>
      <w:pPr>
        <w:spacing w:after="120"/>
        <w:jc w:val="both"/>
      </w:pPr>
      <w:r>
        <w:rPr>
          <w:rFonts w:ascii="Arial" w:cs="Arial" w:eastAsia="Arial" w:hAnsi="Arial"/>
          <w:sz w:val="24"/>
          <w:szCs w:val="24"/>
        </w:rPr>
        <w:t xml:space="preserve">1.2.8. </w:t>
      </w:r>
      <w:r>
        <w:rPr>
          <w:rFonts w:ascii="Arial" w:cs="Arial" w:eastAsia="Arial" w:hAnsi="Arial"/>
          <w:b/>
          <w:bCs/>
          <w:sz w:val="24"/>
          <w:szCs w:val="24"/>
        </w:rPr>
        <w:t xml:space="preserve">Проба</w:t>
      </w:r>
      <w:r>
        <w:rPr>
          <w:rFonts w:ascii="Arial" w:cs="Arial" w:eastAsia="Arial" w:hAnsi="Arial"/>
          <w:sz w:val="24"/>
          <w:szCs w:val="24"/>
        </w:rPr>
        <w:t xml:space="preserve"> - содержание определенного драгоценного металла, измеренное в долях на тысячу единиц массы сплава.</w:t>
      </w:r>
    </w:p>
    <w:p>
      <w:pPr>
        <w:spacing w:after="120"/>
        <w:jc w:val="both"/>
      </w:pPr>
      <w:r>
        <w:rPr>
          <w:rFonts w:ascii="Arial" w:cs="Arial" w:eastAsia="Arial" w:hAnsi="Arial"/>
          <w:sz w:val="24"/>
          <w:szCs w:val="24"/>
        </w:rPr>
        <w:t xml:space="preserve">1.2.9. </w:t>
      </w:r>
      <w:r>
        <w:rPr>
          <w:rFonts w:ascii="Arial" w:cs="Arial" w:eastAsia="Arial" w:hAnsi="Arial"/>
          <w:b/>
          <w:bCs/>
          <w:sz w:val="24"/>
          <w:szCs w:val="24"/>
        </w:rPr>
        <w:t xml:space="preserve">Металлические счета</w:t>
      </w:r>
      <w:r>
        <w:rPr>
          <w:rFonts w:ascii="Arial" w:cs="Arial" w:eastAsia="Arial" w:hAnsi="Arial"/>
          <w:sz w:val="24"/>
          <w:szCs w:val="24"/>
        </w:rPr>
        <w:t xml:space="preserve"> - это счета, открываемые банком для клиентов в целях учета и осуществления операций с драгоценными металлами.</w:t>
      </w:r>
    </w:p>
    <w:p>
      <w:pPr>
        <w:spacing w:after="120"/>
        <w:jc w:val="both"/>
      </w:pPr>
      <w:r>
        <w:rPr>
          <w:rFonts w:ascii="Arial" w:cs="Arial" w:eastAsia="Arial" w:hAnsi="Arial"/>
          <w:sz w:val="24"/>
          <w:szCs w:val="24"/>
        </w:rPr>
        <w:t xml:space="preserve">1.2.10. </w:t>
      </w:r>
      <w:r>
        <w:rPr>
          <w:rFonts w:ascii="Arial" w:cs="Arial" w:eastAsia="Arial" w:hAnsi="Arial"/>
          <w:b/>
          <w:bCs/>
          <w:sz w:val="24"/>
          <w:szCs w:val="24"/>
        </w:rPr>
        <w:t xml:space="preserve">Обезличенные металлические счета</w:t>
      </w:r>
      <w:r>
        <w:rPr>
          <w:rFonts w:ascii="Arial" w:cs="Arial" w:eastAsia="Arial" w:hAnsi="Arial"/>
          <w:sz w:val="24"/>
          <w:szCs w:val="24"/>
        </w:rPr>
        <w:t xml:space="preserve"> - это счета, открываемые банком для учета драгоценных металлов без указания индивидуальных признаков и совершения операций по привлечению и размещению драгоценных металлов.</w:t>
      </w:r>
    </w:p>
    <w:p>
      <w:pPr>
        <w:spacing w:after="120"/>
        <w:jc w:val="both"/>
      </w:pPr>
      <w:r>
        <w:rPr>
          <w:rFonts w:ascii="Arial" w:cs="Arial" w:eastAsia="Arial" w:hAnsi="Arial"/>
          <w:sz w:val="24"/>
          <w:szCs w:val="24"/>
        </w:rPr>
        <w:t xml:space="preserve">1.2.11. </w:t>
      </w:r>
      <w:r>
        <w:rPr>
          <w:rFonts w:ascii="Arial" w:cs="Arial" w:eastAsia="Arial" w:hAnsi="Arial"/>
          <w:b/>
          <w:bCs/>
          <w:sz w:val="24"/>
          <w:szCs w:val="24"/>
        </w:rPr>
        <w:t xml:space="preserve">Металлические счета ответственного хранения</w:t>
      </w:r>
      <w:r>
        <w:rPr>
          <w:rFonts w:ascii="Arial" w:cs="Arial" w:eastAsia="Arial" w:hAnsi="Arial"/>
          <w:sz w:val="24"/>
          <w:szCs w:val="24"/>
        </w:rPr>
        <w:t xml:space="preserve"> - счета клиентов, предназначенные для учета драгоценных металлов, переданных в банк с сохранением их индивидуальных признаков (наименование, количество ценностей, проба, производитель, серийный номер и др.).</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lat1f9ewiundwiqsfwq2e">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Требования настоящего положения распространяются только на аффинированные стандартные и мерные слитки из драгоценных металлов. Коммерческим банкам не разрешается осуществлять операции с драгоценными камнями и другими формами драгоценных металлов, за исключением перечисленных выше и операций по приему залогового обеспечения с видами драгоценных металлов, не подпадающих под определение п.1.2.1 настоящего Положения.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lgmew-mhzwxrnawdzppch">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В соответствии с международной практикой проведения операций с драгоценными металлами, операции с золотом совершаются в количественных единицах чистой массы металла, операции с платиной и серебром - в количественных единицах лигатурной массы металла.</w:t>
      </w:r>
    </w:p>
    <w:p>
      <w:pPr>
        <w:spacing w:after="120"/>
        <w:jc w:val="both"/>
      </w:pPr>
      <w:r>
        <w:rPr>
          <w:rFonts w:ascii="Arial" w:cs="Arial" w:eastAsia="Arial" w:hAnsi="Arial"/>
          <w:sz w:val="24"/>
          <w:szCs w:val="24"/>
        </w:rPr>
        <w:t xml:space="preserve">II. Операции коммерческих банков со слитками драгоценных металлов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наличии специальной лицензии коммерческие банки могут осуществлять следующие операции с драгоценными металлами в наличной и безналичной форме:</w:t>
      </w:r>
    </w:p>
    <w:p>
      <w:pPr>
        <w:spacing w:after="120"/>
        <w:jc w:val="both"/>
      </w:pPr>
      <w:r>
        <w:rPr>
          <w:rFonts w:ascii="Arial" w:cs="Arial" w:eastAsia="Arial" w:hAnsi="Arial"/>
          <w:sz w:val="24"/>
          <w:szCs w:val="24"/>
        </w:rPr>
        <w:t xml:space="preserve">- ведение металлических счетов и привлечение от своего имени драгоценных металлов на оговоренные сроки от других коммерческих банков, юридических и физических лиц;</w:t>
      </w:r>
    </w:p>
    <w:p>
      <w:pPr>
        <w:spacing w:after="120"/>
        <w:jc w:val="both"/>
      </w:pPr>
      <w:r>
        <w:rPr>
          <w:rFonts w:ascii="Arial" w:cs="Arial" w:eastAsia="Arial" w:hAnsi="Arial"/>
          <w:sz w:val="24"/>
          <w:szCs w:val="24"/>
        </w:rPr>
        <w:t xml:space="preserve">- размещение драгоценных металлов на оговоренные сроки от своего имени на металлических счетах, открытых в других банках;</w:t>
      </w:r>
    </w:p>
    <w:p>
      <w:pPr>
        <w:spacing w:after="120"/>
        <w:jc w:val="both"/>
      </w:pPr>
      <w:r>
        <w:rPr>
          <w:rFonts w:ascii="Arial" w:cs="Arial" w:eastAsia="Arial" w:hAnsi="Arial"/>
          <w:sz w:val="24"/>
          <w:szCs w:val="24"/>
        </w:rPr>
        <w:t xml:space="preserve">- предоставление кредитов банкам в драгоценных металлах, и получение кредитов от банков в драгоценных металлах;</w:t>
      </w:r>
    </w:p>
    <w:p>
      <w:pPr>
        <w:spacing w:after="120"/>
        <w:jc w:val="both"/>
      </w:pPr>
      <w:r>
        <w:rPr>
          <w:rFonts w:ascii="Arial" w:cs="Arial" w:eastAsia="Arial" w:hAnsi="Arial"/>
          <w:sz w:val="24"/>
          <w:szCs w:val="24"/>
        </w:rPr>
        <w:t xml:space="preserve">- предоставление кредитов под залог драгоценных металлов;</w:t>
      </w:r>
    </w:p>
    <w:p>
      <w:pPr>
        <w:spacing w:after="120"/>
        <w:jc w:val="both"/>
      </w:pPr>
      <w:r>
        <w:rPr>
          <w:rFonts w:ascii="Arial" w:cs="Arial" w:eastAsia="Arial" w:hAnsi="Arial"/>
          <w:sz w:val="24"/>
          <w:szCs w:val="24"/>
        </w:rPr>
        <w:t xml:space="preserve">- покупка и продажа драгоценных металлов от своего имени за счет клиента;</w:t>
      </w:r>
    </w:p>
    <w:p>
      <w:pPr>
        <w:spacing w:after="120"/>
        <w:jc w:val="both"/>
      </w:pPr>
      <w:r>
        <w:rPr>
          <w:rFonts w:ascii="Arial" w:cs="Arial" w:eastAsia="Arial" w:hAnsi="Arial"/>
          <w:sz w:val="24"/>
          <w:szCs w:val="24"/>
        </w:rPr>
        <w:t xml:space="preserve">- покупка и продажа драгоценных металлов от своего имени за собственный счет;</w:t>
      </w:r>
    </w:p>
    <w:p>
      <w:pPr>
        <w:spacing w:after="120"/>
        <w:jc w:val="both"/>
      </w:pPr>
      <w:r>
        <w:rPr>
          <w:rFonts w:ascii="Arial" w:cs="Arial" w:eastAsia="Arial" w:hAnsi="Arial"/>
          <w:sz w:val="24"/>
          <w:szCs w:val="24"/>
        </w:rPr>
        <w:t xml:space="preserve">- заключение срочных (форвардных) сделок по купле-продаже драгоценных металлов.</w:t>
      </w:r>
    </w:p>
    <w:p>
      <w:pPr>
        <w:spacing w:after="120"/>
        <w:jc w:val="both"/>
      </w:pPr>
      <w:r>
        <w:rPr>
          <w:rFonts w:ascii="Arial" w:cs="Arial" w:eastAsia="Arial" w:hAnsi="Arial"/>
          <w:sz w:val="24"/>
          <w:szCs w:val="24"/>
        </w:rPr>
        <w:t xml:space="preserve">Коммерческим банкам запрещается осуществлять операции с драгоценными металлами, кроме вышеперечисленных операций.</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byquiqs0tzzdxxuxt_ghe">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2.2. Драгоценные металлы, с которыми банки осуществляют операции в рамках настоящего Положения должны отвечать следующим требованиям:</w:t>
      </w:r>
    </w:p>
    <w:p>
      <w:pPr>
        <w:spacing w:after="120"/>
        <w:jc w:val="both"/>
      </w:pPr>
      <w:r>
        <w:rPr>
          <w:rFonts w:ascii="Arial" w:cs="Arial" w:eastAsia="Arial" w:hAnsi="Arial"/>
          <w:sz w:val="24"/>
          <w:szCs w:val="24"/>
        </w:rPr>
        <w:t xml:space="preserve">- соответствовать Международным стандартам качества Lo№do№ good delivery, и быть изготовленными аффинажными предприятиями, прошедшими листинг в Лондонской ассоциации рынка драгоценных металлов;</w:t>
      </w:r>
    </w:p>
    <w:p>
      <w:pPr>
        <w:spacing w:after="120"/>
        <w:jc w:val="both"/>
      </w:pPr>
      <w:r>
        <w:rPr>
          <w:rFonts w:ascii="Arial" w:cs="Arial" w:eastAsia="Arial" w:hAnsi="Arial"/>
          <w:sz w:val="24"/>
          <w:szCs w:val="24"/>
        </w:rPr>
        <w:t xml:space="preserve">- быть изготовленными в виде мерных слитков, применяемых в качестве довесков к стандартным слиткам для выражения (достижения) весов, соответствующих условиям договоров;</w:t>
      </w:r>
    </w:p>
    <w:p>
      <w:pPr>
        <w:spacing w:after="120"/>
        <w:jc w:val="both"/>
      </w:pPr>
      <w:r>
        <w:rPr>
          <w:rFonts w:ascii="Arial" w:cs="Arial" w:eastAsia="Arial" w:hAnsi="Arial"/>
          <w:sz w:val="24"/>
          <w:szCs w:val="24"/>
        </w:rPr>
        <w:t xml:space="preserve">- быть изготовленными в виде мерных слитков, в соответствии с Национальным Стандартом Кыргызской Республики (Кыргыз Мамлекеттик Стандарты (КМС) 1281:2015).</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wj_w2nqgzdjx7wwv7opwi">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Коммерческие банки, осуществляющие операции с драгоценными металлами в виде стандартных и мерных слитков (за исключением аффинированных мерных слитков драгоценных металлов, эмитируемых (выпускаемых) Национальным банком Кыргызской Республики), обязаны:</w:t>
      </w:r>
    </w:p>
    <w:p>
      <w:pPr>
        <w:spacing w:after="120"/>
        <w:jc w:val="both"/>
      </w:pPr>
      <w:r>
        <w:rPr>
          <w:rFonts w:ascii="Arial" w:cs="Arial" w:eastAsia="Arial" w:hAnsi="Arial"/>
          <w:sz w:val="24"/>
          <w:szCs w:val="24"/>
        </w:rPr>
        <w:t xml:space="preserve">- владеть освидетельствованными в соответствии с требованиями законодательства Кыргызской Республики весоизмерительными приборами и разновесами для взвешивания драгоценных металлов, погрешность взвешивания которых не превышает пределы, указанные в </w:t>
      </w:r>
      <w:hyperlink w:history="1" r:id="rIdcie5hi0dsx1omp729o4pv">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при отсутствии таковых пользоваться услугами взвешивания сторонних организаций, у которых весоизмерительные приборы и разновесы удовлетворяют требованиям, указанным в </w:t>
      </w:r>
      <w:hyperlink w:history="1" r:id="rIdnbdolkvh2uqqmnf2pnp0l">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владеть специальным оборудованием, указанным в </w:t>
      </w:r>
      <w:hyperlink w:history="1" r:id="rIdbijc7ekbmtivb8ie-lgp8">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для проведения экспресс анализа состава мерных слитков драгоценных металлов, в целях определения процентного содержания драгоценного металла и примесей;</w:t>
      </w:r>
    </w:p>
    <w:p>
      <w:pPr>
        <w:spacing w:after="120"/>
        <w:jc w:val="both"/>
      </w:pPr>
      <w:r>
        <w:rPr>
          <w:rFonts w:ascii="Arial" w:cs="Arial" w:eastAsia="Arial" w:hAnsi="Arial"/>
          <w:sz w:val="24"/>
          <w:szCs w:val="24"/>
        </w:rPr>
        <w:t xml:space="preserve">- осуществлять хранение и транспортировку драгоценных металлов с соблюдением установленных законодательством требований безопасности.</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aiagqjwyayibue-sx6cl4">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2.4. (Утратил силу в соответствии с </w:t>
      </w:r>
      <w:hyperlink w:history="1" r:id="rIdvsqhyrvijupi1qf6berv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июля 2015 года № 38/1)</w:t>
      </w:r>
    </w:p>
    <w:p>
      <w:pPr>
        <w:spacing w:after="120"/>
        <w:jc w:val="both"/>
      </w:pPr>
      <w:r>
        <w:rPr>
          <w:rFonts w:ascii="Arial" w:cs="Arial" w:eastAsia="Arial" w:hAnsi="Arial"/>
          <w:sz w:val="24"/>
          <w:szCs w:val="24"/>
        </w:rPr>
        <w:t xml:space="preserve">2.5. Банки, осуществляющие операции с драгоценными металлами в виде стандартных и мерных слитков, должны принять во внимание, что под воздействием геофизических и атмосферных факторов и в силу конструктивных особенностей весоизмерительных приборов их показания при взвешивании слитков драгоценных металлов могут отличаться от показаний предыдущих взвешиваний этих ценностей, зафиксированных в учетных или сопроводительных документах (</w:t>
      </w:r>
      <w:hyperlink w:history="1" r:id="rIdpjctavtn83nomirtayxs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Максимальный объем активов в драгоценных металлах и сумма средств на осуществление операций с драгоценными металлами по поручению клиентов должны в совокупности составлять не более 100% размера оплаченного уставного капитала банка.</w:t>
      </w:r>
    </w:p>
    <w:p>
      <w:pPr>
        <w:spacing w:after="120"/>
        <w:jc w:val="both"/>
      </w:pPr>
      <w:r>
        <w:rPr>
          <w:rFonts w:ascii="Arial" w:cs="Arial" w:eastAsia="Arial" w:hAnsi="Arial"/>
          <w:sz w:val="24"/>
          <w:szCs w:val="24"/>
        </w:rPr>
        <w:t xml:space="preserve">2.7. Все операции, где сохранение индивидуальных признаков драгоценных металлов не является обязательным условием заключенных договоров, проводятся по обезличенным металлическим счетам.</w:t>
      </w:r>
    </w:p>
    <w:p>
      <w:pPr>
        <w:spacing w:after="120"/>
        <w:jc w:val="both"/>
      </w:pPr>
      <w:r>
        <w:rPr>
          <w:rFonts w:ascii="Arial" w:cs="Arial" w:eastAsia="Arial" w:hAnsi="Arial"/>
          <w:sz w:val="24"/>
          <w:szCs w:val="24"/>
        </w:rPr>
        <w:t xml:space="preserve">2.7-1. Банки открывают обезличенные металлические счета для осуществления операций по привлечению и размещению драгоценных металлов.</w:t>
      </w:r>
    </w:p>
    <w:p>
      <w:pPr>
        <w:spacing w:after="120"/>
        <w:jc w:val="both"/>
      </w:pPr>
      <w:r>
        <w:rPr>
          <w:rFonts w:ascii="Arial" w:cs="Arial" w:eastAsia="Arial" w:hAnsi="Arial"/>
          <w:sz w:val="24"/>
          <w:szCs w:val="24"/>
        </w:rPr>
        <w:t xml:space="preserve">2.7-2. Для осуществления операций, связанных с переводом драгоценных металлов по обезличенным металлическим счетам, банки имеют право устанавливать корреспондентские отношения:</w:t>
      </w:r>
    </w:p>
    <w:p>
      <w:pPr>
        <w:spacing w:after="120"/>
        <w:jc w:val="both"/>
      </w:pPr>
      <w:r>
        <w:rPr>
          <w:rFonts w:ascii="Arial" w:cs="Arial" w:eastAsia="Arial" w:hAnsi="Arial"/>
          <w:sz w:val="24"/>
          <w:szCs w:val="24"/>
        </w:rPr>
        <w:t xml:space="preserve">1) с Национальным банком Кыргызской Республики, для проведения операций с драгоценными металлами в виде аффинированных мерных слитков, эмитируемых (выпускаемых) Национальным банком Кыргызской Республики;</w:t>
      </w:r>
    </w:p>
    <w:p>
      <w:pPr>
        <w:spacing w:after="120"/>
        <w:jc w:val="both"/>
      </w:pPr>
      <w:r>
        <w:rPr>
          <w:rFonts w:ascii="Arial" w:cs="Arial" w:eastAsia="Arial" w:hAnsi="Arial"/>
          <w:sz w:val="24"/>
          <w:szCs w:val="24"/>
        </w:rPr>
        <w:t xml:space="preserve">2) с банками-нерезидентами, для проведения операций с драгоценными металлами в виде аффинированных стандартных и мерных слитков других эмитентов.</w:t>
      </w:r>
    </w:p>
    <w:p>
      <w:pPr>
        <w:spacing w:after="120"/>
        <w:jc w:val="both"/>
      </w:pPr>
      <w:r>
        <w:rPr>
          <w:rFonts w:ascii="Arial" w:cs="Arial" w:eastAsia="Arial" w:hAnsi="Arial"/>
          <w:sz w:val="24"/>
          <w:szCs w:val="24"/>
        </w:rPr>
        <w:t xml:space="preserve">2.7-3. Привлечение и размещение драгоценных металлов на обезличенные металлические счета может быть осуществлено путем перевода драгоценных металлов с других обезличенных металлических счетов, зачислением на обезличенные металлические счета драгоценных металлов при их физической поставке, а также зачислением драгоценных металлов, проданных клиенту, или драгоценных металлов, приобретенных банком.</w:t>
      </w:r>
    </w:p>
    <w:p>
      <w:pPr>
        <w:spacing w:after="120"/>
        <w:jc w:val="both"/>
      </w:pPr>
      <w:r>
        <w:rPr>
          <w:rFonts w:ascii="Arial" w:cs="Arial" w:eastAsia="Arial" w:hAnsi="Arial"/>
          <w:sz w:val="24"/>
          <w:szCs w:val="24"/>
        </w:rPr>
        <w:t xml:space="preserve">Возврат драгоценных металлов с обезличенных металлических счетов клиентов возможен путем перевода драгоценных металлов на другие обезличенные металлические счета, снятием со счетов драгоценных металлов в физической форме, а также путем совершения сделки купли-продажи драгоценных металлов, числящихся на металлических счетах.</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1xbskalk1jtlfoknvv-pp">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В договоре обезличенного металлического счета определяются операции, проводимые по данному счету, порядок зачисления и возврата с металлических счетов, а также размер вознаграждений, связанных с ведением счета. Также в этом договоре должны быть оговорены условия изменения индивидуальных характеристик драгоценных металлов, выдачи со счета в физической форме и отклонения массы (пробы) числящегося на счете драгоценного металла от массы (пробы) драгоценного металла, подлежащего возврату с этого счета в физической форме.</w:t>
      </w:r>
    </w:p>
    <w:p>
      <w:pPr>
        <w:spacing w:after="120"/>
        <w:jc w:val="both"/>
      </w:pPr>
      <w:r>
        <w:rPr>
          <w:rFonts w:ascii="Arial" w:cs="Arial" w:eastAsia="Arial" w:hAnsi="Arial"/>
          <w:sz w:val="24"/>
          <w:szCs w:val="24"/>
        </w:rPr>
        <w:t xml:space="preserve">2.9. Все операции, где сохранение индивидуальных признаков драгоценных металлов является обязательным условием заключенных договоров, проводятся по металлическим счетам ответственного хранения.</w:t>
      </w:r>
    </w:p>
    <w:p>
      <w:pPr>
        <w:spacing w:after="120"/>
        <w:jc w:val="both"/>
      </w:pPr>
      <w:r>
        <w:rPr>
          <w:rFonts w:ascii="Arial" w:cs="Arial" w:eastAsia="Arial" w:hAnsi="Arial"/>
          <w:sz w:val="24"/>
          <w:szCs w:val="24"/>
        </w:rPr>
        <w:t xml:space="preserve">Драгоценные металлы, принятые от клиента на хранение, не являются привлеченными средствами банка и не могут быть размещены им от своего имени и за свой счет.</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bip0radlqtngnwt3tr7wk">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2.10. По металлическим счетам ответственного хранения могут быть предоставлены услуги продажи драгоценных металлов, когда по поручению клиента должны быть проданы только им внесенные драгоценные металлы. Учет переводов по счетам ответственного хранения осуществляется обязательно в физической форме.</w:t>
      </w:r>
    </w:p>
    <w:p>
      <w:pPr>
        <w:spacing w:after="120"/>
        <w:jc w:val="both"/>
      </w:pPr>
      <w:r>
        <w:rPr>
          <w:rFonts w:ascii="Arial" w:cs="Arial" w:eastAsia="Arial" w:hAnsi="Arial"/>
          <w:sz w:val="24"/>
          <w:szCs w:val="24"/>
        </w:rPr>
        <w:t xml:space="preserve">2.11. Драгоценные металлы, перешедшие в собственность банка в результате отчуждения залогового обеспечения, должны быть проданы в соответствии с законодательством и банком должны быть предприняты все меры по приведению нарушенных нормативов в соответствие.</w:t>
      </w:r>
    </w:p>
    <w:p>
      <w:pPr>
        <w:spacing w:after="120"/>
        <w:jc w:val="both"/>
      </w:pPr>
      <w:r>
        <w:rPr>
          <w:rFonts w:ascii="Arial" w:cs="Arial" w:eastAsia="Arial" w:hAnsi="Arial"/>
          <w:sz w:val="24"/>
          <w:szCs w:val="24"/>
        </w:rPr>
        <w:t xml:space="preserve">2.12. Ввоз и вывоз драгоценных металлов с территории Кыргызской Республики осуществляется согласно законодательству Кыргызской Республики с согласия уполномоченного государственного органа.</w:t>
      </w:r>
    </w:p>
    <w:p>
      <w:pPr>
        <w:spacing w:after="120"/>
        <w:jc w:val="both"/>
      </w:pPr>
      <w:r>
        <w:rPr>
          <w:rFonts w:ascii="Arial" w:cs="Arial" w:eastAsia="Arial" w:hAnsi="Arial"/>
          <w:sz w:val="24"/>
          <w:szCs w:val="24"/>
        </w:rPr>
        <w:t xml:space="preserve">2.13. Коммерческие банки при транспортировке драгоценных металлов, либо за свой счет, либо за счет клиента должны обеспечить страхование перевозок драгоценных металлов соответствующим образом. Переход ответственности и прав владения при транспортировке между банком, его клиентом, сопровождающими лицами и грузоперевозчиком определяются соответствующими договорами.</w:t>
      </w:r>
    </w:p>
    <w:p>
      <w:pPr>
        <w:spacing w:after="120"/>
        <w:jc w:val="both"/>
      </w:pPr>
      <w:r>
        <w:rPr>
          <w:rFonts w:ascii="Arial" w:cs="Arial" w:eastAsia="Arial" w:hAnsi="Arial"/>
          <w:sz w:val="24"/>
          <w:szCs w:val="24"/>
        </w:rPr>
        <w:t xml:space="preserve">2.14. При перевозке драгоценных металлов необходимо предпринять меры по обеспечению сохранности их внешнего вида, чтобы на перевозимых слитках не образовались углубления и царапины.</w:t>
      </w:r>
    </w:p>
    <w:p>
      <w:pPr>
        <w:spacing w:after="120"/>
        <w:jc w:val="both"/>
      </w:pPr>
      <w:r>
        <w:rPr>
          <w:rFonts w:ascii="Arial" w:cs="Arial" w:eastAsia="Arial" w:hAnsi="Arial"/>
          <w:sz w:val="24"/>
          <w:szCs w:val="24"/>
        </w:rPr>
        <w:t xml:space="preserve">III. Организация внутреннего контроля по операциям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осуществления операций с драгоценными металлами банки обязаны разработать соответствующую политику управления рисками, сопутствующими операциям с драгоценными металлами и организовать адекватный внутренний контроль. По каждой из проводимых операций должны быть разработаны и утверждены соответствующие процедуры.</w:t>
      </w:r>
    </w:p>
    <w:p>
      <w:pPr>
        <w:spacing w:after="120"/>
        <w:jc w:val="both"/>
      </w:pPr>
      <w:r>
        <w:rPr>
          <w:rFonts w:ascii="Arial" w:cs="Arial" w:eastAsia="Arial" w:hAnsi="Arial"/>
          <w:sz w:val="24"/>
          <w:szCs w:val="24"/>
        </w:rPr>
        <w:t xml:space="preserve">3.2. В процедурах должны быть отражены, как минимум, следующие средства внутреннего контроля:</w:t>
      </w:r>
    </w:p>
    <w:p>
      <w:pPr>
        <w:spacing w:after="120"/>
        <w:jc w:val="both"/>
      </w:pPr>
      <w:r>
        <w:rPr>
          <w:rFonts w:ascii="Arial" w:cs="Arial" w:eastAsia="Arial" w:hAnsi="Arial"/>
          <w:sz w:val="24"/>
          <w:szCs w:val="24"/>
        </w:rPr>
        <w:t xml:space="preserve">3.2.1. Разграничение функциональных обязанностей сотрудников банка таким образом, чтобы один сотрудник не мог исполнить и/или контролировать какой-либо процесс в полном объеме от инициирования сделки до ее учета в бухгалтерских книгах.</w:t>
      </w:r>
    </w:p>
    <w:p>
      <w:pPr>
        <w:spacing w:after="120"/>
        <w:jc w:val="both"/>
      </w:pPr>
      <w:r>
        <w:rPr>
          <w:rFonts w:ascii="Arial" w:cs="Arial" w:eastAsia="Arial" w:hAnsi="Arial"/>
          <w:sz w:val="24"/>
          <w:szCs w:val="24"/>
        </w:rPr>
        <w:t xml:space="preserve">3.2.2. Применение двойного контроля - для выполнения определенных операций (действий), связанных с высокой степенью риска, требуются как минимум два сотрудника.</w:t>
      </w:r>
    </w:p>
    <w:p>
      <w:pPr>
        <w:spacing w:after="120"/>
        <w:jc w:val="both"/>
      </w:pPr>
      <w:r>
        <w:rPr>
          <w:rFonts w:ascii="Arial" w:cs="Arial" w:eastAsia="Arial" w:hAnsi="Arial"/>
          <w:sz w:val="24"/>
          <w:szCs w:val="24"/>
        </w:rPr>
        <w:t xml:space="preserve">3.2.3. Внедрение четкой системы санкционирования всего объема проводимых банком операций соответствующими уполномоченными сотрудниками банка.</w:t>
      </w:r>
    </w:p>
    <w:p>
      <w:pPr>
        <w:spacing w:after="120"/>
        <w:jc w:val="both"/>
      </w:pPr>
      <w:r>
        <w:rPr>
          <w:rFonts w:ascii="Arial" w:cs="Arial" w:eastAsia="Arial" w:hAnsi="Arial"/>
          <w:sz w:val="24"/>
          <w:szCs w:val="24"/>
        </w:rPr>
        <w:t xml:space="preserve">3.2.4. Проведение периодических плановых и внезапных инвентаризаций драгоценных металлов на предмет выяснения соответствия данных бухгалтерского учета фактическому наличию.</w:t>
      </w:r>
    </w:p>
    <w:p>
      <w:pPr>
        <w:spacing w:after="120"/>
        <w:jc w:val="both"/>
      </w:pPr>
      <w:r>
        <w:rPr>
          <w:rFonts w:ascii="Arial" w:cs="Arial" w:eastAsia="Arial" w:hAnsi="Arial"/>
          <w:sz w:val="24"/>
          <w:szCs w:val="24"/>
        </w:rPr>
        <w:t xml:space="preserve">3.2.5. Ограничение доступа к активам или информации персонала, не имеющего на то полномочий. Защиту от несанкционированного доступа или несанкционированных операций обеспечивают охранные устройства, такие как запирающиеся сейфы, хранилища, сооружение специальных дверей, установка камер, двойной контроль, информированность руководства, электронная защита и др.</w:t>
      </w:r>
    </w:p>
    <w:p>
      <w:pPr>
        <w:spacing w:after="120"/>
        <w:jc w:val="both"/>
      </w:pPr>
      <w:r>
        <w:rPr>
          <w:rFonts w:ascii="Arial" w:cs="Arial" w:eastAsia="Arial" w:hAnsi="Arial"/>
          <w:sz w:val="24"/>
          <w:szCs w:val="24"/>
        </w:rPr>
        <w:t xml:space="preserve">IV. Лимиты по операциям с драгоценными металлами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Расчет лимита позиций по драгоценным металлам осуществляется аналогично расчетам лимита позиций по иностранной валюте.</w:t>
      </w:r>
    </w:p>
    <w:p>
      <w:pPr>
        <w:spacing w:after="120"/>
        <w:jc w:val="both"/>
      </w:pPr>
      <w:r>
        <w:rPr>
          <w:rFonts w:ascii="Arial" w:cs="Arial" w:eastAsia="Arial" w:hAnsi="Arial"/>
          <w:sz w:val="24"/>
          <w:szCs w:val="24"/>
        </w:rPr>
        <w:t xml:space="preserve">4.2. Национальный банк Кыргызской Республики в целях регулирования операций купли-продажи с драгоценными металлами устанавливает для коммерческих банков лимиты открытой позиции по драгоценным металлам (по золоту, серебру и платине отдельно). При этом валютная позиция рассчитывается по каждому виду драгоценных металлов (золото, серебро и платина) отдельно.</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1r09yb2vs6vk-bx04ehdz">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Коммерческие банки на ежедневной основе представляют в Национальный банк Кыргызской Республики баланс по каждому виду драгоценного металла и сведения по соблюдению лимитов позиции по драгоценным металлам, в составе отчета по соблюдению лимитов открытой валютной позиции, согласно </w:t>
      </w:r>
      <w:hyperlink w:history="1" r:id="rIdn7zjxxzvh8mwasqgubc9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коммерческими банками на территории Кыргызской Республики(1)".</w:t>
      </w:r>
    </w:p>
    <w:p>
      <w:pPr>
        <w:spacing w:after="120"/>
        <w:jc w:val="both"/>
      </w:pPr>
      <w:r>
        <w:rPr>
          <w:rFonts w:ascii="Arial" w:cs="Arial" w:eastAsia="Arial" w:hAnsi="Arial"/>
          <w:sz w:val="24"/>
          <w:szCs w:val="24"/>
        </w:rPr>
        <w:t xml:space="preserve">4.4. Форма и периодичность отчетности коммерческих банков перед уполномоченным государственным органом устанавливается последним и банки обязаны неукоснительно следовать требованиям уполномоченного органа в пределах действующего законодательства.</w:t>
      </w:r>
    </w:p>
    <w:p>
      <w:pPr>
        <w:spacing w:after="120"/>
        <w:jc w:val="both"/>
      </w:pPr>
      <w:r>
        <w:rPr>
          <w:rFonts w:ascii="Arial" w:cs="Arial" w:eastAsia="Arial" w:hAnsi="Arial"/>
          <w:sz w:val="24"/>
          <w:szCs w:val="24"/>
        </w:rPr>
        <w:t xml:space="preserve">4.5. За нарушение коммерческим банком установленных лимитов, Национальный банк Кыргызской Республики имеет право применить санкцию в виде денежного штрафа в размере 0,5% от суммы превышения лимита позиции по драгоценным металлам за каждый день нарушения. Штраф снимается с корреспондентского счета коммерческого банка в Национальном банке Кыргызской Республики на следующий за нарушением день.</w:t>
      </w:r>
    </w:p>
    <w:p>
      <w:pPr>
        <w:spacing w:after="120"/>
        <w:jc w:val="both"/>
      </w:pPr>
      <w:r>
        <w:rPr>
          <w:rFonts w:ascii="Arial" w:cs="Arial" w:eastAsia="Arial" w:hAnsi="Arial"/>
          <w:sz w:val="24"/>
          <w:szCs w:val="24"/>
        </w:rPr>
        <w:t xml:space="preserve">4.6. Национальный банк Кыргызской Республики вправе отозвать дополнительную лицензию банка на право проведения операций с драгоценными металлами, если банк:</w:t>
      </w:r>
    </w:p>
    <w:p>
      <w:pPr>
        <w:spacing w:after="120"/>
        <w:jc w:val="both"/>
      </w:pPr>
      <w:r>
        <w:rPr>
          <w:rFonts w:ascii="Arial" w:cs="Arial" w:eastAsia="Arial" w:hAnsi="Arial"/>
          <w:sz w:val="24"/>
          <w:szCs w:val="24"/>
        </w:rPr>
        <w:t xml:space="preserve">- осуществляет операции с драгоценными металлами, которые не указаны в дополнительной лицензии банка;</w:t>
      </w:r>
    </w:p>
    <w:p>
      <w:pPr>
        <w:spacing w:after="120"/>
        <w:jc w:val="both"/>
      </w:pPr>
      <w:r>
        <w:rPr>
          <w:rFonts w:ascii="Arial" w:cs="Arial" w:eastAsia="Arial" w:hAnsi="Arial"/>
          <w:sz w:val="24"/>
          <w:szCs w:val="24"/>
        </w:rPr>
        <w:t xml:space="preserve">- систематически (более 2-х раз за последовательные 30 календарных дней) нарушил лимит позиции по драгоценным металлам;</w:t>
      </w:r>
    </w:p>
    <w:p>
      <w:pPr>
        <w:spacing w:after="120"/>
        <w:jc w:val="both"/>
      </w:pPr>
      <w:r>
        <w:rPr>
          <w:rFonts w:ascii="Arial" w:cs="Arial" w:eastAsia="Arial" w:hAnsi="Arial"/>
          <w:sz w:val="24"/>
          <w:szCs w:val="24"/>
        </w:rPr>
        <w:t xml:space="preserve">- если деятельность банка по операциям с драгоценными металлами за последние два года убыточна;</w:t>
      </w:r>
    </w:p>
    <w:p>
      <w:pPr>
        <w:spacing w:after="120"/>
        <w:jc w:val="both"/>
      </w:pPr>
      <w:r>
        <w:rPr>
          <w:rFonts w:ascii="Arial" w:cs="Arial" w:eastAsia="Arial" w:hAnsi="Arial"/>
          <w:sz w:val="24"/>
          <w:szCs w:val="24"/>
        </w:rPr>
        <w:t xml:space="preserve">- если коммерческий банк нарушает норматив адекватности капитала.</w:t>
      </w:r>
    </w:p>
    <w:p>
      <w:pPr>
        <w:spacing w:after="120"/>
        <w:jc w:val="both"/>
      </w:pPr>
      <w:r>
        <w:rPr>
          <w:rFonts w:ascii="Arial" w:cs="Arial" w:eastAsia="Arial" w:hAnsi="Arial"/>
          <w:sz w:val="24"/>
          <w:szCs w:val="24"/>
        </w:rPr>
        <w:t xml:space="preserve">(1) утвержденной </w:t>
      </w:r>
      <w:hyperlink w:history="1" r:id="rIddwtgrbnizvzblf4f7dli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 36/13 от 29.12.2004 г., регистрационный номер МЮ КР 16-05 от 01.02.2005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w:t>
      </w:r>
      <w:r>
        <w:rPr>
          <w:rFonts w:ascii="Arial" w:cs="Arial" w:eastAsia="Arial" w:hAnsi="Arial"/>
          <w:sz w:val="24"/>
          <w:szCs w:val="24"/>
        </w:rPr>
        <w:t xml:space="preserve">
 к </w:t>
      </w:r>
      <w:hyperlink w:history="1" r:id="rIdfbmmsmw7_0nkiguxyc5s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МЕЖДУНАРОДНЫЕ СТАНДАРТЫ КАЧЕСТВА, 
 принятые Лондонской Ассоциацией Рынка драгоценных металлов (LBMA)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качества драгоценных металлов, принятые Лондонской Ассоциацией Рынка драгоценных металлов, обозначены в документах ассоциации как стандарт Lo№do№ good delivery.</w:t>
      </w:r>
    </w:p>
    <w:p>
      <w:pPr>
        <w:spacing w:after="120"/>
        <w:jc w:val="both"/>
      </w:pPr>
      <w:r>
        <w:rPr>
          <w:rFonts w:ascii="Arial" w:cs="Arial" w:eastAsia="Arial" w:hAnsi="Arial"/>
          <w:sz w:val="24"/>
          <w:szCs w:val="24"/>
        </w:rPr>
        <w:t xml:space="preserve">1. Слитки золота стандарта Lo№do№ good delivery должны отвечать следующим требованиям:</w:t>
      </w:r>
    </w:p>
    <w:p>
      <w:pPr>
        <w:spacing w:after="120"/>
        <w:jc w:val="both"/>
      </w:pPr>
      <w:r>
        <w:rPr>
          <w:rFonts w:ascii="Arial" w:cs="Arial" w:eastAsia="Arial" w:hAnsi="Arial"/>
          <w:sz w:val="24"/>
          <w:szCs w:val="24"/>
        </w:rPr>
        <w:t xml:space="preserve">Масса чистого золота в слитке должна составлять от 350 до 430 тройских унций (от 10886 г до 13375 г).</w:t>
      </w:r>
    </w:p>
    <w:p>
      <w:pPr>
        <w:spacing w:after="120"/>
        <w:jc w:val="both"/>
      </w:pPr>
      <w:r>
        <w:rPr>
          <w:rFonts w:ascii="Arial" w:cs="Arial" w:eastAsia="Arial" w:hAnsi="Arial"/>
          <w:sz w:val="24"/>
          <w:szCs w:val="24"/>
        </w:rPr>
        <w:t xml:space="preserve">Вес каждого слитка должен быть выражен в тройских унциях и быть кратным 0,025 унции.</w:t>
      </w:r>
    </w:p>
    <w:p>
      <w:pPr>
        <w:spacing w:after="120"/>
        <w:jc w:val="both"/>
      </w:pPr>
      <w:r>
        <w:rPr>
          <w:rFonts w:ascii="Arial" w:cs="Arial" w:eastAsia="Arial" w:hAnsi="Arial"/>
          <w:sz w:val="24"/>
          <w:szCs w:val="24"/>
        </w:rPr>
        <w:t xml:space="preserve">Чистота металла должна быть не ниже 995 долей химически чистого золота на 1000 долей лигатурной массы. В качестве обязательных отметок на слитке должны быть:</w:t>
      </w:r>
    </w:p>
    <w:p>
      <w:pPr>
        <w:spacing w:after="120"/>
        <w:jc w:val="both"/>
      </w:pPr>
      <w:r>
        <w:rPr>
          <w:rFonts w:ascii="Arial" w:cs="Arial" w:eastAsia="Arial" w:hAnsi="Arial"/>
          <w:sz w:val="24"/>
          <w:szCs w:val="24"/>
        </w:rPr>
        <w:t xml:space="preserve">- серийный номер;</w:t>
      </w:r>
    </w:p>
    <w:p>
      <w:pPr>
        <w:spacing w:after="120"/>
        <w:jc w:val="both"/>
      </w:pPr>
      <w:r>
        <w:rPr>
          <w:rFonts w:ascii="Arial" w:cs="Arial" w:eastAsia="Arial" w:hAnsi="Arial"/>
          <w:sz w:val="24"/>
          <w:szCs w:val="24"/>
        </w:rPr>
        <w:t xml:space="preserve">- проба;</w:t>
      </w:r>
    </w:p>
    <w:p>
      <w:pPr>
        <w:spacing w:after="120"/>
        <w:jc w:val="both"/>
      </w:pPr>
      <w:r>
        <w:rPr>
          <w:rFonts w:ascii="Arial" w:cs="Arial" w:eastAsia="Arial" w:hAnsi="Arial"/>
          <w:sz w:val="24"/>
          <w:szCs w:val="24"/>
        </w:rPr>
        <w:t xml:space="preserve">- клеймо изготовителя;</w:t>
      </w:r>
    </w:p>
    <w:p>
      <w:pPr>
        <w:spacing w:after="120"/>
        <w:jc w:val="both"/>
      </w:pPr>
      <w:r>
        <w:rPr>
          <w:rFonts w:ascii="Arial" w:cs="Arial" w:eastAsia="Arial" w:hAnsi="Arial"/>
          <w:sz w:val="24"/>
          <w:szCs w:val="24"/>
        </w:rPr>
        <w:t xml:space="preserve">- год изготовления слитка.</w:t>
      </w:r>
    </w:p>
    <w:p>
      <w:pPr>
        <w:spacing w:after="120"/>
        <w:jc w:val="both"/>
      </w:pPr>
      <w:r>
        <w:rPr>
          <w:rFonts w:ascii="Arial" w:cs="Arial" w:eastAsia="Arial" w:hAnsi="Arial"/>
          <w:sz w:val="24"/>
          <w:szCs w:val="24"/>
        </w:rPr>
        <w:t xml:space="preserve">На слитке не должно быть пор, углублений и прочих недостатков, он должен быть удобен для переноски и складирования.</w:t>
      </w:r>
    </w:p>
    <w:p>
      <w:pPr>
        <w:spacing w:after="120"/>
        <w:jc w:val="both"/>
      </w:pPr>
      <w:r>
        <w:rPr>
          <w:rFonts w:ascii="Arial" w:cs="Arial" w:eastAsia="Arial" w:hAnsi="Arial"/>
          <w:sz w:val="24"/>
          <w:szCs w:val="24"/>
        </w:rPr>
        <w:t xml:space="preserve">2. Слитки серебра стандарта Lo№do№ good delivery должны отвечать следующим требованиям:</w:t>
      </w:r>
    </w:p>
    <w:p>
      <w:pPr>
        <w:spacing w:after="120"/>
        <w:jc w:val="both"/>
      </w:pPr>
      <w:r>
        <w:rPr>
          <w:rFonts w:ascii="Arial" w:cs="Arial" w:eastAsia="Arial" w:hAnsi="Arial"/>
          <w:sz w:val="24"/>
          <w:szCs w:val="24"/>
        </w:rPr>
        <w:t xml:space="preserve">Вес слитка должен составлять от 750 до 1100 тройских унций (от 23328 г до 34214 г).</w:t>
      </w:r>
    </w:p>
    <w:p>
      <w:pPr>
        <w:spacing w:after="120"/>
        <w:jc w:val="both"/>
      </w:pPr>
      <w:r>
        <w:rPr>
          <w:rFonts w:ascii="Arial" w:cs="Arial" w:eastAsia="Arial" w:hAnsi="Arial"/>
          <w:sz w:val="24"/>
          <w:szCs w:val="24"/>
        </w:rPr>
        <w:t xml:space="preserve">Вес каждого слитка должен быть выражен в тройских унциях и быть кратным 0,10 унции.</w:t>
      </w:r>
    </w:p>
    <w:p>
      <w:pPr>
        <w:spacing w:after="120"/>
        <w:jc w:val="both"/>
      </w:pPr>
      <w:r>
        <w:rPr>
          <w:rFonts w:ascii="Arial" w:cs="Arial" w:eastAsia="Arial" w:hAnsi="Arial"/>
          <w:sz w:val="24"/>
          <w:szCs w:val="24"/>
        </w:rPr>
        <w:t xml:space="preserve">Чистота металла должна быть не ниже 999 долей химически чистого серебра на 1000 долей лигатурной массы.</w:t>
      </w:r>
    </w:p>
    <w:p>
      <w:pPr>
        <w:spacing w:after="120"/>
        <w:jc w:val="both"/>
      </w:pPr>
      <w:r>
        <w:rPr>
          <w:rFonts w:ascii="Arial" w:cs="Arial" w:eastAsia="Arial" w:hAnsi="Arial"/>
          <w:sz w:val="24"/>
          <w:szCs w:val="24"/>
        </w:rPr>
        <w:t xml:space="preserve">В качестве обязательных отметок на слитке должны быть:</w:t>
      </w:r>
    </w:p>
    <w:p>
      <w:pPr>
        <w:spacing w:after="120"/>
        <w:jc w:val="both"/>
      </w:pPr>
      <w:r>
        <w:rPr>
          <w:rFonts w:ascii="Arial" w:cs="Arial" w:eastAsia="Arial" w:hAnsi="Arial"/>
          <w:sz w:val="24"/>
          <w:szCs w:val="24"/>
        </w:rPr>
        <w:t xml:space="preserve">- Серийный номер;</w:t>
      </w:r>
    </w:p>
    <w:p>
      <w:pPr>
        <w:spacing w:after="120"/>
        <w:jc w:val="both"/>
      </w:pPr>
      <w:r>
        <w:rPr>
          <w:rFonts w:ascii="Arial" w:cs="Arial" w:eastAsia="Arial" w:hAnsi="Arial"/>
          <w:sz w:val="24"/>
          <w:szCs w:val="24"/>
        </w:rPr>
        <w:t xml:space="preserve">- Проба;</w:t>
      </w:r>
    </w:p>
    <w:p>
      <w:pPr>
        <w:spacing w:after="120"/>
        <w:jc w:val="both"/>
      </w:pPr>
      <w:r>
        <w:rPr>
          <w:rFonts w:ascii="Arial" w:cs="Arial" w:eastAsia="Arial" w:hAnsi="Arial"/>
          <w:sz w:val="24"/>
          <w:szCs w:val="24"/>
        </w:rPr>
        <w:t xml:space="preserve">- Клеймо изготовителя;</w:t>
      </w:r>
    </w:p>
    <w:p>
      <w:pPr>
        <w:spacing w:after="120"/>
        <w:jc w:val="both"/>
      </w:pPr>
      <w:r>
        <w:rPr>
          <w:rFonts w:ascii="Arial" w:cs="Arial" w:eastAsia="Arial" w:hAnsi="Arial"/>
          <w:sz w:val="24"/>
          <w:szCs w:val="24"/>
        </w:rPr>
        <w:t xml:space="preserve">- Вес в тройских унциях или килограммах (вес слитка в килограммах должен быть переведен в тройские унции, и соответствовать названным выше требованиям).</w:t>
      </w:r>
    </w:p>
    <w:p>
      <w:pPr>
        <w:spacing w:after="120"/>
        <w:jc w:val="both"/>
      </w:pPr>
      <w:r>
        <w:rPr>
          <w:rFonts w:ascii="Arial" w:cs="Arial" w:eastAsia="Arial" w:hAnsi="Arial"/>
          <w:sz w:val="24"/>
          <w:szCs w:val="24"/>
        </w:rPr>
        <w:t xml:space="preserve">Слиток должен иметь правильную форму, удобную для переноски и складирования.</w:t>
      </w:r>
    </w:p>
    <w:p>
      <w:pPr>
        <w:spacing w:after="120"/>
        <w:jc w:val="both"/>
      </w:pPr>
      <w:r>
        <w:rPr>
          <w:rFonts w:ascii="Arial" w:cs="Arial" w:eastAsia="Arial" w:hAnsi="Arial"/>
          <w:sz w:val="24"/>
          <w:szCs w:val="24"/>
        </w:rPr>
        <w:t xml:space="preserve">На поверхности слитка не должно быть пор, углублений и прочих недостатков. Края слитка должны быть прямыми и не острыми.</w:t>
      </w:r>
    </w:p>
    <w:p>
      <w:pPr>
        <w:spacing w:after="120"/>
        <w:jc w:val="both"/>
      </w:pPr>
      <w:r>
        <w:rPr>
          <w:rFonts w:ascii="Arial" w:cs="Arial" w:eastAsia="Arial" w:hAnsi="Arial"/>
          <w:sz w:val="24"/>
          <w:szCs w:val="24"/>
        </w:rPr>
        <w:t xml:space="preserve">3. Слитки (пластины) платины стандарта Lo№do№ good delivery должны отвечать следующим требованиям:</w:t>
      </w:r>
    </w:p>
    <w:p>
      <w:pPr>
        <w:spacing w:after="120"/>
        <w:jc w:val="both"/>
      </w:pPr>
      <w:r>
        <w:rPr>
          <w:rFonts w:ascii="Arial" w:cs="Arial" w:eastAsia="Arial" w:hAnsi="Arial"/>
          <w:sz w:val="24"/>
          <w:szCs w:val="24"/>
        </w:rPr>
        <w:t xml:space="preserve">Вес слитка должен составлять от 32,150 до 192,904 тройских унций (от 1000 г до 6000 г).</w:t>
      </w:r>
    </w:p>
    <w:p>
      <w:pPr>
        <w:spacing w:after="120"/>
        <w:jc w:val="both"/>
      </w:pPr>
      <w:r>
        <w:rPr>
          <w:rFonts w:ascii="Arial" w:cs="Arial" w:eastAsia="Arial" w:hAnsi="Arial"/>
          <w:sz w:val="24"/>
          <w:szCs w:val="24"/>
        </w:rPr>
        <w:t xml:space="preserve">Чистота металла должна быть не ниже 999,5 долей химически чистого металла на 1000 долей лигатурной массы.</w:t>
      </w:r>
    </w:p>
    <w:p>
      <w:pPr>
        <w:spacing w:after="120"/>
        <w:jc w:val="both"/>
      </w:pPr>
      <w:r>
        <w:rPr>
          <w:rFonts w:ascii="Arial" w:cs="Arial" w:eastAsia="Arial" w:hAnsi="Arial"/>
          <w:sz w:val="24"/>
          <w:szCs w:val="24"/>
        </w:rPr>
        <w:t xml:space="preserve">В качестве обязательных отметок на слитке должны быть:</w:t>
      </w:r>
    </w:p>
    <w:p>
      <w:pPr>
        <w:spacing w:after="120"/>
        <w:jc w:val="both"/>
      </w:pPr>
      <w:r>
        <w:rPr>
          <w:rFonts w:ascii="Arial" w:cs="Arial" w:eastAsia="Arial" w:hAnsi="Arial"/>
          <w:sz w:val="24"/>
          <w:szCs w:val="24"/>
        </w:rPr>
        <w:t xml:space="preserve">- Серийный номер;</w:t>
      </w:r>
    </w:p>
    <w:p>
      <w:pPr>
        <w:spacing w:after="120"/>
        <w:jc w:val="both"/>
      </w:pPr>
      <w:r>
        <w:rPr>
          <w:rFonts w:ascii="Arial" w:cs="Arial" w:eastAsia="Arial" w:hAnsi="Arial"/>
          <w:sz w:val="24"/>
          <w:szCs w:val="24"/>
        </w:rPr>
        <w:t xml:space="preserve">- Проба;</w:t>
      </w:r>
    </w:p>
    <w:p>
      <w:pPr>
        <w:spacing w:after="120"/>
        <w:jc w:val="both"/>
      </w:pPr>
      <w:r>
        <w:rPr>
          <w:rFonts w:ascii="Arial" w:cs="Arial" w:eastAsia="Arial" w:hAnsi="Arial"/>
          <w:sz w:val="24"/>
          <w:szCs w:val="24"/>
        </w:rPr>
        <w:t xml:space="preserve">- Литеры РТ или PLATI№UM;</w:t>
      </w:r>
    </w:p>
    <w:p>
      <w:pPr>
        <w:spacing w:after="120"/>
        <w:jc w:val="both"/>
      </w:pPr>
      <w:r>
        <w:rPr>
          <w:rFonts w:ascii="Arial" w:cs="Arial" w:eastAsia="Arial" w:hAnsi="Arial"/>
          <w:sz w:val="24"/>
          <w:szCs w:val="24"/>
        </w:rPr>
        <w:t xml:space="preserve">- Клеймо изготовителя;</w:t>
      </w:r>
    </w:p>
    <w:p>
      <w:pPr>
        <w:spacing w:after="120"/>
        <w:jc w:val="both"/>
      </w:pPr>
      <w:r>
        <w:rPr>
          <w:rFonts w:ascii="Arial" w:cs="Arial" w:eastAsia="Arial" w:hAnsi="Arial"/>
          <w:sz w:val="24"/>
          <w:szCs w:val="24"/>
        </w:rPr>
        <w:t xml:space="preserve">- Вес в граммах или тройских унциях.</w:t>
      </w:r>
    </w:p>
    <w:p>
      <w:pPr>
        <w:spacing w:after="120"/>
        <w:jc w:val="both"/>
      </w:pPr>
      <w:r>
        <w:rPr>
          <w:rFonts w:ascii="Arial" w:cs="Arial" w:eastAsia="Arial" w:hAnsi="Arial"/>
          <w:sz w:val="24"/>
          <w:szCs w:val="24"/>
        </w:rPr>
        <w:t xml:space="preserve">Слиток должен иметь правильную форму, удобную для переноски и складирования.</w:t>
      </w:r>
    </w:p>
    <w:p>
      <w:pPr>
        <w:spacing w:after="120"/>
        <w:jc w:val="both"/>
      </w:pPr>
      <w:r>
        <w:rPr>
          <w:rFonts w:ascii="Arial" w:cs="Arial" w:eastAsia="Arial" w:hAnsi="Arial"/>
          <w:sz w:val="24"/>
          <w:szCs w:val="24"/>
        </w:rPr>
        <w:t xml:space="preserve">На слитке не должно быть пор, углублений и прочих недостатков, он должен быть удобен для переноски и складирования.</w:t>
      </w:r>
    </w:p>
    <w:p>
      <w:pPr>
        <w:spacing w:after="120"/>
        <w:jc w:val="both"/>
      </w:pPr>
      <w:r>
        <w:rPr>
          <w:rFonts w:ascii="Arial" w:cs="Arial" w:eastAsia="Arial" w:hAnsi="Arial"/>
          <w:sz w:val="24"/>
          <w:szCs w:val="24"/>
        </w:rPr>
        <w:t xml:space="preserve">Аффинажная фирма, проставляющая клеймо на слитках золота, платины и серебра, отвечающих стандартам Lo№do№ good delivery, должна быть включена в специальный список LBMA (List of Acceptable Melters a№d Assayers).</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p3adbyvwhr0034vijttg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ДОПУСКАЕМЫЕ ПОГРЕШНОСТИ 
 взвешивания применяемых весов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Допускаемые погрешности взвешивания применяемых весов не должны превышать следующих значений (мг) (ГОСТ 24104-88):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3490"/>
        <w:gridCol w:w="3107"/>
        <w:gridCol w:w="3107"/>
      </w:tblGrid>
      <w:tr>
        <w:tc>
          <w:tcPr>
            <w:tcW w:type="dxa" w:w="4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п/п</w:t>
            </w:r>
          </w:p>
        </w:tc>
        <w:tc>
          <w:tcPr>
            <w:tcW w:type="dxa" w:w="34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предел взвешивания</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2-го класса точности весов</w:t>
            </w:r>
          </w:p>
        </w:tc>
        <w:tc>
          <w:tcPr>
            <w:tcW w:type="dxa" w:w="31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3-го класса точности весов</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 мг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мг до 1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 г до 2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 г до 20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 г до 50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 г до 200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г до 500 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500 г до 1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 кг до 2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 кг до 5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5 кг до 10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 кг до 20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r>
      <w:tr>
        <w:tc>
          <w:tcPr>
            <w:tcW w:type="dxa" w:w="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 кг до 50 кг включительно</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w:t>
            </w:r>
          </w:p>
        </w:tc>
        <w:tc>
          <w:tcPr>
            <w:tcW w:type="dxa" w:w="3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bl>
    <w:p>
      <w:pPr>
        <w:spacing w:after="120"/>
        <w:jc w:val="both"/>
      </w:pPr>
      <w:r>
        <w:rPr>
          <w:rFonts w:ascii="Arial" w:cs="Arial" w:eastAsia="Arial" w:hAnsi="Arial"/>
          <w:sz w:val="24"/>
          <w:szCs w:val="24"/>
        </w:rPr>
        <w:t xml:space="preserve">Взвешивание золота и платины осуществляется весами, как минимум, второго класса точности, а серебра - как </w:t>
      </w:r>
      <w:r>
        <w:rPr>
          <w:rFonts w:ascii="Arial" w:cs="Arial" w:eastAsia="Arial" w:hAnsi="Arial"/>
          <w:sz w:val="24"/>
          <w:szCs w:val="24"/>
        </w:rPr>
        <w:t xml:space="preserve">минимум, третьего класса точности.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2-1</w:t>
      </w:r>
      <w:r>
        <w:rPr>
          <w:rFonts w:ascii="Arial" w:cs="Arial" w:eastAsia="Arial" w:hAnsi="Arial"/>
          <w:sz w:val="24"/>
          <w:szCs w:val="24"/>
        </w:rPr>
        <w:t xml:space="preserve">
 к </w:t>
      </w:r>
      <w:hyperlink w:history="1" r:id="rIdmxnoorqevn5-dfnl08z8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ТЕХНИЧЕСКИЕ ТРЕБОВАНИЯ
 к оборудованию для экспресс анализа аффинированных мерных слитков драгоценных металлов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pxbifdfot9kihhxcdiymc">
        <w:r>
          <w:rPr>
            <w:rFonts w:ascii="Arial" w:cs="Arial" w:eastAsia="Arial" w:hAnsi="Arial"/>
            <w:i/>
            <w:iCs/>
            <w:color w:val="1D4ED8"/>
            <w:sz w:val="24"/>
            <w:szCs w:val="24"/>
            <w:u w:val="single"/>
          </w:rPr>
          <w:t xml:space="preserve">15 июля 2015 года № 38/1</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b/>
          <w:bCs/>
          <w:sz w:val="24"/>
          <w:szCs w:val="24"/>
        </w:rPr>
        <w:t xml:space="preserve">Наименование</w:t>
      </w:r>
      <w:r>
        <w:rPr>
          <w:rFonts w:ascii="Arial" w:cs="Arial" w:eastAsia="Arial" w:hAnsi="Arial"/>
          <w:sz w:val="24"/>
          <w:szCs w:val="24"/>
        </w:rPr>
        <w:t xml:space="preserve">	</w:t>
      </w:r>
      <w:r>
        <w:rPr>
          <w:rFonts w:ascii="Arial" w:cs="Arial" w:eastAsia="Arial" w:hAnsi="Arial"/>
          <w:b/>
          <w:bCs/>
          <w:sz w:val="24"/>
          <w:szCs w:val="24"/>
        </w:rPr>
        <w:t xml:space="preserve">Примечание</w:t>
      </w:r>
    </w:p>
    <w:p>
      <w:pPr>
        <w:tabs>
          <w:tab w:val="right" w:pos="10178"/>
        </w:tabs>
        <w:spacing w:after="120"/>
      </w:pPr>
      <w:r>
        <w:rPr>
          <w:rFonts w:ascii="Arial" w:cs="Arial" w:eastAsia="Arial" w:hAnsi="Arial"/>
          <w:sz w:val="24"/>
          <w:szCs w:val="24"/>
        </w:rPr>
        <w:t xml:space="preserve">Рентгено-флуоресцентный анализатор</w:t>
      </w:r>
      <w:r>
        <w:rPr>
          <w:rFonts w:ascii="Arial" w:cs="Arial" w:eastAsia="Arial" w:hAnsi="Arial"/>
          <w:sz w:val="24"/>
          <w:szCs w:val="24"/>
        </w:rPr>
        <w:t xml:space="preserve">	</w:t>
      </w:r>
      <w:r>
        <w:rPr>
          <w:rFonts w:ascii="Arial" w:cs="Arial" w:eastAsia="Arial" w:hAnsi="Arial"/>
          <w:sz w:val="24"/>
          <w:szCs w:val="24"/>
        </w:rPr>
        <w:t xml:space="preserve">Подтверждение состава золотого слитка с процентным содержанием золота 99,99 с измерением до сотых долей %</w:t>
      </w:r>
    </w:p>
    <w:p>
      <w:pPr>
        <w:tabs>
          <w:tab w:val="right" w:pos="10178"/>
        </w:tabs>
        <w:spacing w:after="120"/>
      </w:pPr>
      <w:r>
        <w:rPr>
          <w:rFonts w:ascii="Arial" w:cs="Arial" w:eastAsia="Arial" w:hAnsi="Arial"/>
          <w:sz w:val="24"/>
          <w:szCs w:val="24"/>
        </w:rPr>
        <w:t xml:space="preserve">Специализированные электронные весы</w:t>
      </w:r>
      <w:r>
        <w:rPr>
          <w:rFonts w:ascii="Arial" w:cs="Arial" w:eastAsia="Arial" w:hAnsi="Arial"/>
          <w:sz w:val="24"/>
          <w:szCs w:val="24"/>
        </w:rPr>
        <w:t xml:space="preserve">	</w:t>
      </w:r>
      <w:r>
        <w:rPr>
          <w:rFonts w:ascii="Arial" w:cs="Arial" w:eastAsia="Arial" w:hAnsi="Arial"/>
          <w:sz w:val="24"/>
          <w:szCs w:val="24"/>
        </w:rPr>
        <w:t xml:space="preserve">II (высокий) класс точности по ГОСТ 24104 с диапазоном измерения от 0,02 гр. до 120 гр.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d1zf2klof3bxhzjtrfwu7">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 воздействием геофизических и атмосферных факторов и в силу конструктивных особенностей весоизмерительных приборов их показания при взвешивании слитков драгоценных металлов могут отличаться от показаний предыдущих взвешиваний этих ценностей, зафиксированных в учетных или сопроводительных документах. Пределы весовых расхождений, которые могут возникать при взвешивании ценностей, следующие: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9"/>
        <w:gridCol w:w="2141"/>
        <w:gridCol w:w="2463"/>
        <w:gridCol w:w="2764"/>
      </w:tblGrid>
      <w:tr>
        <w:tc>
          <w:tcPr>
            <w:tcW w:type="dxa" w:w="28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драгоценного металла</w:t>
            </w:r>
          </w:p>
        </w:tc>
        <w:tc>
          <w:tcPr>
            <w:tcW w:type="dxa" w:w="21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Масса, г</w:t>
            </w:r>
          </w:p>
        </w:tc>
        <w:tc>
          <w:tcPr>
            <w:tcW w:type="dxa" w:w="24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Наибольший предел взвешивания, г</w:t>
            </w:r>
          </w:p>
        </w:tc>
        <w:tc>
          <w:tcPr>
            <w:tcW w:type="dxa" w:w="27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Допустимые весовые расхождения, г</w:t>
            </w:r>
          </w:p>
        </w:tc>
      </w:tr>
      <w:tr>
        <w:tc>
          <w:tcPr>
            <w:tcW w:type="dxa" w:w="2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Слитки золота и платины</w:t>
            </w:r>
          </w:p>
        </w:tc>
        <w:tc>
          <w:tcPr>
            <w:tcW w:type="dxa" w:w="2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5500 
 5500-30000</w:t>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5500 30000</w:t>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0,1 0,2</w:t>
            </w:r>
          </w:p>
        </w:tc>
      </w:tr>
      <w:tr>
        <w:tc>
          <w:tcPr>
            <w:tcW w:type="dxa" w:w="2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Слитки серебра</w:t>
            </w:r>
          </w:p>
        </w:tc>
        <w:tc>
          <w:tcPr>
            <w:tcW w:type="dxa" w:w="2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20000-32000 32000-60000</w:t>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32000 60000</w:t>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w:t>
            </w:r>
          </w:p>
        </w:tc>
      </w:tr>
    </w:tbl>
    <w:p>
      <w:pPr>
        <w:spacing w:after="120"/>
        <w:jc w:val="both"/>
      </w:pPr>
      <w:r>
        <w:rPr>
          <w:rFonts w:ascii="Arial" w:cs="Arial" w:eastAsia="Arial" w:hAnsi="Arial"/>
          <w:sz w:val="24"/>
          <w:szCs w:val="24"/>
        </w:rPr>
        <w:t xml:space="preserve">2. Весовые расхождения, </w:t>
      </w:r>
      <w:r>
        <w:rPr>
          <w:rFonts w:ascii="Arial" w:cs="Arial" w:eastAsia="Arial" w:hAnsi="Arial"/>
          <w:sz w:val="24"/>
          <w:szCs w:val="24"/>
        </w:rPr>
        <w:t xml:space="preserve">выявленные при взвешивании слитков, в пределах допустимых норм между показаниями весоизмерительных приборов и данными сопроводительных или учетных документов отражаются в (кассовых) журналах без отражения в бухгалтерских книгах.</w:t>
      </w:r>
    </w:p>
    <w:p>
      <w:pPr>
        <w:spacing w:after="120"/>
        <w:jc w:val="both"/>
      </w:pPr>
      <w:r>
        <w:rPr>
          <w:rFonts w:ascii="Arial" w:cs="Arial" w:eastAsia="Arial" w:hAnsi="Arial"/>
          <w:sz w:val="24"/>
          <w:szCs w:val="24"/>
        </w:rPr>
        <w:t xml:space="preserve">3. Весовые расхождения, выявленные при взвешивании слитков, которые превышают пределы допустимых норм между показаниями весоизмерительных приборов и данными сопроводительных или учетных документов, должны быть оформлены актом весовых расхождений и отражаются в бухгалтерских книгах.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mgfflnzqpw0ewjbktbg">
      <w:r>
        <w:rPr>
          <w:rFonts w:ascii="Arial" w:cs="Arial" w:eastAsia="Arial" w:hAnsi="Arial"/>
          <w:color w:val="132D3F"/>
          <w:sz w:val="16"/>
          <w:szCs w:val="16"/>
          <w:u w:val="single"/>
        </w:rPr>
        <w:t xml:space="preserve">dalil.kg/document/301272</w:t>
      </w:r>
    </w:hyperlink>
  </w:p>
  <w:p>
    <w:pPr>
      <w:spacing w:after="0" w:before="40"/>
      <w:jc w:val="center"/>
    </w:pPr>
    <w:hyperlink w:history="1" r:id="rIdwl7z_k3cyh6_v5h8ghj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vxx9jjosoyawroi8yi-" Type="http://schemas.openxmlformats.org/officeDocument/2006/relationships/hyperlink" Target="https://dalil.kg/document/301242" TargetMode="External"/><Relationship Id="rIdtrf0l7q1d3mfecybbymsv" Type="http://schemas.openxmlformats.org/officeDocument/2006/relationships/hyperlink" Target="https://dalil.kg/document/303015" TargetMode="External"/><Relationship Id="rIdzkyiu7pap2w1b3dd9l5q5" Type="http://schemas.openxmlformats.org/officeDocument/2006/relationships/hyperlink" Target="https://dalil.kg/document/559" TargetMode="External"/><Relationship Id="rIdorlecxzomnltazkzgyz5z" Type="http://schemas.openxmlformats.org/officeDocument/2006/relationships/hyperlink" Target="https://dalil.kg/document/560" TargetMode="External"/><Relationship Id="rIdz6mab7adkckgzwly4bbsv" Type="http://schemas.openxmlformats.org/officeDocument/2006/relationships/hyperlink" Target="https://dalil.kg/document/69" TargetMode="External"/><Relationship Id="rId-dyrn_cpfo32_t8mrpghg" Type="http://schemas.openxmlformats.org/officeDocument/2006/relationships/hyperlink" Target="https://dalil.kg/document/303015" TargetMode="External"/><Relationship Id="rIdzragu2dyrump6ouudl4gf" Type="http://schemas.openxmlformats.org/officeDocument/2006/relationships/hyperlink" Target="https://dalil.kg/document/301272#p1" TargetMode="External"/><Relationship Id="rId-hp0tr7ovu8hpnwfegc3w" Type="http://schemas.openxmlformats.org/officeDocument/2006/relationships/hyperlink" Target="https://dalil.kg/document/303015" TargetMode="External"/><Relationship Id="rIdlat1f9ewiundwiqsfwq2e" Type="http://schemas.openxmlformats.org/officeDocument/2006/relationships/hyperlink" Target="https://dalil.kg/document/303015" TargetMode="External"/><Relationship Id="rIdlgmew-mhzwxrnawdzppch" Type="http://schemas.openxmlformats.org/officeDocument/2006/relationships/hyperlink" Target="https://dalil.kg/document/303015" TargetMode="External"/><Relationship Id="rIdbyquiqs0tzzdxxuxt_ghe" Type="http://schemas.openxmlformats.org/officeDocument/2006/relationships/hyperlink" Target="https://dalil.kg/document/303015" TargetMode="External"/><Relationship Id="rIdwj_w2nqgzdjx7wwv7opwi" Type="http://schemas.openxmlformats.org/officeDocument/2006/relationships/hyperlink" Target="https://dalil.kg/document/303015" TargetMode="External"/><Relationship Id="rIdcie5hi0dsx1omp729o4pv" Type="http://schemas.openxmlformats.org/officeDocument/2006/relationships/hyperlink" Target="https://dalil.kg/document/301272#p2" TargetMode="External"/><Relationship Id="rIdnbdolkvh2uqqmnf2pnp0l" Type="http://schemas.openxmlformats.org/officeDocument/2006/relationships/hyperlink" Target="https://dalil.kg/document/301272#p2" TargetMode="External"/><Relationship Id="rIdbijc7ekbmtivb8ie-lgp8" Type="http://schemas.openxmlformats.org/officeDocument/2006/relationships/hyperlink" Target="https://dalil.kg/document/301272#p2_1" TargetMode="External"/><Relationship Id="rIdaiagqjwyayibue-sx6cl4" Type="http://schemas.openxmlformats.org/officeDocument/2006/relationships/hyperlink" Target="https://dalil.kg/document/303015" TargetMode="External"/><Relationship Id="rIdvsqhyrvijupi1qf6bervu" Type="http://schemas.openxmlformats.org/officeDocument/2006/relationships/hyperlink" Target="https://dalil.kg/document/303015" TargetMode="External"/><Relationship Id="rIdpjctavtn83nomirtayxsn" Type="http://schemas.openxmlformats.org/officeDocument/2006/relationships/hyperlink" Target="https://dalil.kg/document/301272#p3" TargetMode="External"/><Relationship Id="rId1xbskalk1jtlfoknvv-pp" Type="http://schemas.openxmlformats.org/officeDocument/2006/relationships/hyperlink" Target="https://dalil.kg/document/303015" TargetMode="External"/><Relationship Id="rIdbip0radlqtngnwt3tr7wk" Type="http://schemas.openxmlformats.org/officeDocument/2006/relationships/hyperlink" Target="https://dalil.kg/document/303015" TargetMode="External"/><Relationship Id="rId1r09yb2vs6vk-bx04ehdz" Type="http://schemas.openxmlformats.org/officeDocument/2006/relationships/hyperlink" Target="https://dalil.kg/document/303015" TargetMode="External"/><Relationship Id="rIdn7zjxxzvh8mwasqgubc9v" Type="http://schemas.openxmlformats.org/officeDocument/2006/relationships/hyperlink" Target="https://dalil.kg/document/31124" TargetMode="External"/><Relationship Id="rIddwtgrbnizvzblf4f7dli4" Type="http://schemas.openxmlformats.org/officeDocument/2006/relationships/hyperlink" Target="https://dalil.kg/document/31095" TargetMode="External"/><Relationship Id="rIdfbmmsmw7_0nkiguxyc5sa" Type="http://schemas.openxmlformats.org/officeDocument/2006/relationships/hyperlink" Target="https://dalil.kg/document/301272" TargetMode="External"/><Relationship Id="rIdp3adbyvwhr0034vijttgm" Type="http://schemas.openxmlformats.org/officeDocument/2006/relationships/hyperlink" Target="https://dalil.kg/document/301272" TargetMode="External"/><Relationship Id="rIdmxnoorqevn5-dfnl08z8a" Type="http://schemas.openxmlformats.org/officeDocument/2006/relationships/hyperlink" Target="https://dalil.kg/document/301272" TargetMode="External"/><Relationship Id="rIdpxbifdfot9kihhxcdiymc" Type="http://schemas.openxmlformats.org/officeDocument/2006/relationships/hyperlink" Target="https://dalil.kg/document/303015" TargetMode="External"/><Relationship Id="rIdd1zf2klof3bxhzjtrfwu7" Type="http://schemas.openxmlformats.org/officeDocument/2006/relationships/hyperlink" Target="https://dalil.kg/document/30127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mgfflnzqpw0ewjbktbg" Type="http://schemas.openxmlformats.org/officeDocument/2006/relationships/hyperlink" Target="https://dalil.kg/document/301272" TargetMode="External"/><Relationship Id="rIdwl7z_k3cyh6_v5h8ghj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2026-09-25T06:24:36.814Z</dcterms:created>
  <dcterms:modified xsi:type="dcterms:W3CDTF">2026-09-25T06:24:36.814Z</dcterms:modified>
</cp:coreProperties>
</file>

<file path=docProps/custom.xml><?xml version="1.0" encoding="utf-8"?>
<Properties xmlns="http://schemas.openxmlformats.org/officeDocument/2006/custom-properties" xmlns:vt="http://schemas.openxmlformats.org/officeDocument/2006/docPropsVTypes"/>
</file>