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p5rtahvvfjog3msbar-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2009 года № 50/7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минимальных требованиях по управлению кредитным риском в кредитных союзах</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03oggb6ef0xsitbcsqglv">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hyperlink w:history="1" r:id="rIdgqv3gmzlfnz4hayjavorm">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whbapmulxbklnpsjiejrh">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 </w:t>
      </w:r>
      <w:hyperlink w:history="1" r:id="rId1qoi6x-qwwdx4cki45lx1">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pz8cyrotxg97h2molgua1">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efclkvrt29jmbq-0p78wb">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21/9)</w:t>
      </w:r>
    </w:p>
    <w:p>
      <w:pPr>
        <w:spacing w:after="60"/>
        <w:ind w:firstLine="567"/>
        <w:jc w:val="both"/>
      </w:pPr>
      <w:r>
        <w:rPr>
          <w:rFonts w:ascii="Arial" w:cs="Arial" w:eastAsia="Arial" w:hAnsi="Arial"/>
          <w:sz w:val="24"/>
          <w:szCs w:val="24"/>
        </w:rPr>
        <w:t xml:space="preserve">1.2. Целью настоящего Положения является определение минимальных требований к формированию в кредитных союзах адекватной системы управления кредитным риском.</w:t>
      </w:r>
    </w:p>
    <w:p>
      <w:pPr>
        <w:spacing w:after="60"/>
        <w:ind w:firstLine="567"/>
        <w:jc w:val="both"/>
      </w:pPr>
      <w:r>
        <w:rPr>
          <w:rFonts w:ascii="Arial" w:cs="Arial" w:eastAsia="Arial" w:hAnsi="Arial"/>
          <w:sz w:val="24"/>
          <w:szCs w:val="24"/>
        </w:rPr>
        <w:t xml:space="preserve">1.3. Кредитный риск - это риск неисполнения заемщиками своих обязательств в соответствии со сроками и условиями договора, а также контрагентами по финансовым контрактам.</w:t>
      </w:r>
    </w:p>
    <w:p>
      <w:pPr>
        <w:spacing w:after="60"/>
        <w:ind w:firstLine="567"/>
        <w:jc w:val="both"/>
      </w:pPr>
      <w:r>
        <w:rPr>
          <w:rFonts w:ascii="Arial" w:cs="Arial" w:eastAsia="Arial" w:hAnsi="Arial"/>
          <w:sz w:val="24"/>
          <w:szCs w:val="24"/>
        </w:rPr>
        <w:t xml:space="preserve">Кредитный риск связан как с просрочкой платежа по вине заемщика вследствие его неплатежеспособности, так и с качеством залога, типом заемщика по форме собственности, отраслевой принадлежностью, наличием и видами гарантий и надежностью самих гарантов, оценкой выполнения ранее данных обязательств по кредитам, перспектив дальнейшего развития заемщика и др.</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кредитного союза, где положительный результат зависит от выполнения участником-заемщиком кредитного союза (далее заемщиком), либо контрагентами обязательств перед кредитным союзом,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кредитного союза кредитному риску, выявлении причин его возникновения и определении внутренних и внешних тенденций повышения риска, на основании которых можно прогнозировать кредитный риск, и принятии необходимых мер для его минимизации до приемлемого уровня.</w:t>
      </w:r>
    </w:p>
    <w:p>
      <w:pPr>
        <w:spacing w:after="200" w:before="200"/>
        <w:jc w:val="center"/>
      </w:pPr>
      <w:r>
        <w:rPr>
          <w:rFonts w:ascii="Arial" w:cs="Arial" w:eastAsia="Arial" w:hAnsi="Arial"/>
          <w:b/>
          <w:bCs/>
          <w:sz w:val="24"/>
          <w:szCs w:val="24"/>
        </w:rPr>
        <w:t xml:space="preserve">2. Управление кредитным риском</w:t>
      </w:r>
    </w:p>
    <w:p>
      <w:pPr>
        <w:spacing w:after="60"/>
        <w:ind w:firstLine="567"/>
        <w:jc w:val="both"/>
      </w:pPr>
      <w:r>
        <w:rPr>
          <w:rFonts w:ascii="Arial" w:cs="Arial" w:eastAsia="Arial" w:hAnsi="Arial"/>
          <w:sz w:val="24"/>
          <w:szCs w:val="24"/>
        </w:rPr>
        <w:t xml:space="preserve">2.1. Правление кредитного союза должно обеспечить наличие эффективной системы управления кредитным риском, которая должна включать четко определенную кредитную структуру с установлением прав и обязанностей по всем аспектам управления и мониторинга кредитным риском, а также соответствующие инструменты, позволяющие определить, оценить и контролировать кредитный риск.</w:t>
      </w:r>
    </w:p>
    <w:p>
      <w:pPr>
        <w:spacing w:after="60"/>
        <w:ind w:firstLine="567"/>
        <w:jc w:val="both"/>
      </w:pPr>
      <w:r>
        <w:rPr>
          <w:rFonts w:ascii="Arial" w:cs="Arial" w:eastAsia="Arial" w:hAnsi="Arial"/>
          <w:sz w:val="24"/>
          <w:szCs w:val="24"/>
        </w:rPr>
        <w:t xml:space="preserve">2.2. Определение кредитного риска - это процесс, осуществляемый на постоянной основе, который должен быть ориентирован на выявление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fa8djzyygjumlmhoqf5c">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Измерение кредитного риска должно проводиться с учетом внешних и внутренних условий данного кредитного союза. Инструменты измерения риска, используемые кредитным союзом, должны отражать сложность и уровни риска, принимаемого кредитным союзом. Кредитному союзу необходимо периодически оценивать инструменты измерения риска, применяемые им.</w:t>
      </w:r>
    </w:p>
    <w:p>
      <w:pPr>
        <w:spacing w:after="60"/>
        <w:ind w:firstLine="567"/>
        <w:jc w:val="both"/>
      </w:pPr>
      <w:r>
        <w:rPr>
          <w:rFonts w:ascii="Arial" w:cs="Arial" w:eastAsia="Arial" w:hAnsi="Arial"/>
          <w:sz w:val="24"/>
          <w:szCs w:val="24"/>
        </w:rPr>
        <w:t xml:space="preserve">2.3. Контроль за кредитным риском. Кредитный союз должен установить и изложить в политиках, правилах и процедурах лимиты, определяющие права и ответственность сотрудников кредитного союза. Контрольные ограничения должны быть регулируемы, т.е. у кредитного союза должна быть возможность вносить изменения в указанные лимиты в установленном в политиках порядке.</w:t>
      </w:r>
    </w:p>
    <w:p>
      <w:pPr>
        <w:spacing w:after="60"/>
        <w:ind w:firstLine="567"/>
        <w:jc w:val="both"/>
      </w:pPr>
      <w:r>
        <w:rPr>
          <w:rFonts w:ascii="Arial" w:cs="Arial" w:eastAsia="Arial" w:hAnsi="Arial"/>
          <w:sz w:val="24"/>
          <w:szCs w:val="24"/>
        </w:rPr>
        <w:t xml:space="preserve">2.4. Отчеты по мониторингу кредитного риска должны быть периодичными, точными, своевременными и должны представляться ответственным лицам кредитного союза для принятия необходимых корректирующих мер.</w:t>
      </w:r>
    </w:p>
    <w:p>
      <w:pPr>
        <w:spacing w:after="60"/>
        <w:ind w:firstLine="567"/>
        <w:jc w:val="both"/>
      </w:pPr>
      <w:r>
        <w:rPr>
          <w:rFonts w:ascii="Arial" w:cs="Arial" w:eastAsia="Arial" w:hAnsi="Arial"/>
          <w:sz w:val="24"/>
          <w:szCs w:val="24"/>
        </w:rPr>
        <w:t xml:space="preserve">2.5. Кредитные операции кредитного союза осуществляются в соответствии с его внутренней кредитной политикой, утверждаемой Общим собранием участников кредитного союза. Общее собрание участников кредитного союза должно периодически проводить обзор адекватности кредитной политики.</w:t>
      </w:r>
    </w:p>
    <w:p>
      <w:pPr>
        <w:spacing w:after="60"/>
        <w:ind w:firstLine="567"/>
        <w:jc w:val="both"/>
      </w:pPr>
      <w:r>
        <w:rPr>
          <w:rFonts w:ascii="Arial" w:cs="Arial" w:eastAsia="Arial" w:hAnsi="Arial"/>
          <w:sz w:val="24"/>
          <w:szCs w:val="24"/>
        </w:rPr>
        <w:t xml:space="preserve">Правление кредитного союза несет ответственность за исполнение кредитной политики, для чего должно разрабатывать и внедрять в деятельность кредитного союза политики и процедуры по выявлению, измерению, мониторингу и контролю кредитного риска.</w:t>
      </w:r>
    </w:p>
    <w:p>
      <w:pPr>
        <w:spacing w:after="200" w:before="200"/>
        <w:jc w:val="center"/>
      </w:pPr>
      <w:r>
        <w:rPr>
          <w:rFonts w:ascii="Arial" w:cs="Arial" w:eastAsia="Arial" w:hAnsi="Arial"/>
          <w:b/>
          <w:bCs/>
          <w:sz w:val="24"/>
          <w:szCs w:val="24"/>
        </w:rPr>
        <w:t xml:space="preserve">3. Кредитная политика кредитного союза</w:t>
      </w:r>
    </w:p>
    <w:p>
      <w:pPr>
        <w:spacing w:after="60"/>
        <w:ind w:firstLine="567"/>
        <w:jc w:val="both"/>
      </w:pPr>
      <w:r>
        <w:rPr>
          <w:rFonts w:ascii="Arial" w:cs="Arial" w:eastAsia="Arial" w:hAnsi="Arial"/>
          <w:sz w:val="24"/>
          <w:szCs w:val="24"/>
        </w:rPr>
        <w:t xml:space="preserve">3.1. Кредитная политика должна определять стратегию, критерии, параметры и процедуры, которыми обязаны руководствоваться сотрудники кредитного союза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В кредитной политике кредитного союза должны быть отражены вопросы по возможному обеспечению периодического обучения сотрудников по кредитованию и мониторингу вопросам анализа и оценки платежеспособности заемщика, с учетом внедренной в кредитном союзе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кредитной политике должны быть отражены основные положения, касающиеся выдачи кредитов:</w:t>
      </w:r>
    </w:p>
    <w:p>
      <w:pPr>
        <w:spacing w:after="60"/>
        <w:ind w:firstLine="567"/>
        <w:jc w:val="both"/>
      </w:pPr>
      <w:r>
        <w:rPr>
          <w:rFonts w:ascii="Arial" w:cs="Arial" w:eastAsia="Arial" w:hAnsi="Arial"/>
          <w:sz w:val="24"/>
          <w:szCs w:val="24"/>
        </w:rPr>
        <w:t xml:space="preserve">3.2.1. Общие положения, включая:</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w:t>
      </w:r>
    </w:p>
    <w:p>
      <w:pPr>
        <w:spacing w:after="60"/>
        <w:ind w:firstLine="567"/>
        <w:jc w:val="both"/>
      </w:pPr>
      <w:r>
        <w:rPr>
          <w:rFonts w:ascii="Arial" w:cs="Arial" w:eastAsia="Arial" w:hAnsi="Arial"/>
          <w:sz w:val="24"/>
          <w:szCs w:val="24"/>
        </w:rPr>
        <w:t xml:space="preserve">- валюту кредита;</w:t>
      </w:r>
    </w:p>
    <w:p>
      <w:pPr>
        <w:spacing w:after="60"/>
        <w:ind w:firstLine="567"/>
        <w:jc w:val="both"/>
      </w:pPr>
      <w:r>
        <w:rPr>
          <w:rFonts w:ascii="Arial" w:cs="Arial" w:eastAsia="Arial" w:hAnsi="Arial"/>
          <w:sz w:val="24"/>
          <w:szCs w:val="24"/>
        </w:rPr>
        <w:t xml:space="preserve">- количественные пределы кредитования;</w:t>
      </w:r>
    </w:p>
    <w:p>
      <w:pPr>
        <w:spacing w:after="60"/>
        <w:ind w:firstLine="567"/>
        <w:jc w:val="both"/>
      </w:pPr>
      <w:r>
        <w:rPr>
          <w:rFonts w:ascii="Arial" w:cs="Arial" w:eastAsia="Arial" w:hAnsi="Arial"/>
          <w:sz w:val="24"/>
          <w:szCs w:val="24"/>
        </w:rPr>
        <w:t xml:space="preserve">- сроки кредитования;</w:t>
      </w:r>
    </w:p>
    <w:p>
      <w:pPr>
        <w:spacing w:after="60"/>
        <w:ind w:firstLine="567"/>
        <w:jc w:val="both"/>
      </w:pPr>
      <w:r>
        <w:rPr>
          <w:rFonts w:ascii="Arial" w:cs="Arial" w:eastAsia="Arial" w:hAnsi="Arial"/>
          <w:sz w:val="24"/>
          <w:szCs w:val="24"/>
        </w:rPr>
        <w:t xml:space="preserve">- процентные ставки и методы их установления;</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концентрация кредитов (по группам заемщиков, географическому признаку, по отрасли и другим факторам);</w:t>
      </w:r>
    </w:p>
    <w:p>
      <w:pPr>
        <w:spacing w:after="60"/>
        <w:ind w:firstLine="567"/>
        <w:jc w:val="both"/>
      </w:pPr>
      <w:r>
        <w:rPr>
          <w:rFonts w:ascii="Arial" w:cs="Arial" w:eastAsia="Arial" w:hAnsi="Arial"/>
          <w:sz w:val="24"/>
          <w:szCs w:val="24"/>
        </w:rPr>
        <w:t xml:space="preserve">- ограничения по кредитам, выдаваемым членам органов управления кредитного союза;</w:t>
      </w:r>
    </w:p>
    <w:p>
      <w:pPr>
        <w:spacing w:after="60"/>
        <w:ind w:firstLine="567"/>
        <w:jc w:val="both"/>
      </w:pPr>
      <w:r>
        <w:rPr>
          <w:rFonts w:ascii="Arial" w:cs="Arial" w:eastAsia="Arial" w:hAnsi="Arial"/>
          <w:sz w:val="24"/>
          <w:szCs w:val="24"/>
        </w:rPr>
        <w:t xml:space="preserve">- критерии оценки стоимости и приемлемости залога;</w:t>
      </w:r>
    </w:p>
    <w:p>
      <w:pPr>
        <w:spacing w:after="60"/>
        <w:ind w:firstLine="567"/>
        <w:jc w:val="both"/>
      </w:pPr>
      <w:r>
        <w:rPr>
          <w:rFonts w:ascii="Arial" w:cs="Arial" w:eastAsia="Arial" w:hAnsi="Arial"/>
          <w:sz w:val="24"/>
          <w:szCs w:val="24"/>
        </w:rPr>
        <w:t xml:space="preserve">- и другое.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lwuifq5qeua78pxtbc_f">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Порядок оформления кредита:</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выдачи кредитов;</w:t>
      </w:r>
    </w:p>
    <w:p>
      <w:pPr>
        <w:spacing w:after="60"/>
        <w:ind w:firstLine="567"/>
        <w:jc w:val="both"/>
      </w:pPr>
      <w:r>
        <w:rPr>
          <w:rFonts w:ascii="Arial" w:cs="Arial" w:eastAsia="Arial" w:hAnsi="Arial"/>
          <w:sz w:val="24"/>
          <w:szCs w:val="24"/>
        </w:rPr>
        <w:t xml:space="preserve">- порядок одобрения кредитов;</w:t>
      </w:r>
    </w:p>
    <w:p>
      <w:pPr>
        <w:spacing w:after="60"/>
        <w:ind w:firstLine="567"/>
        <w:jc w:val="both"/>
      </w:pPr>
      <w:r>
        <w:rPr>
          <w:rFonts w:ascii="Arial" w:cs="Arial" w:eastAsia="Arial" w:hAnsi="Arial"/>
          <w:sz w:val="24"/>
          <w:szCs w:val="24"/>
        </w:rPr>
        <w:t xml:space="preserve">- требования к залогу и документации (виды залога, коэффициент покрытия кредита залогом, оценка рыночной стоимости и его местонахождение, право распоряжения залогом, методы оценки залога);</w:t>
      </w:r>
    </w:p>
    <w:p>
      <w:pPr>
        <w:spacing w:after="60"/>
        <w:ind w:firstLine="567"/>
        <w:jc w:val="both"/>
      </w:pPr>
      <w:r>
        <w:rPr>
          <w:rFonts w:ascii="Arial" w:cs="Arial" w:eastAsia="Arial" w:hAnsi="Arial"/>
          <w:sz w:val="24"/>
          <w:szCs w:val="24"/>
        </w:rPr>
        <w:t xml:space="preserve">- контроль за правильностью оформления кредитов.</w:t>
      </w:r>
    </w:p>
    <w:p>
      <w:pPr>
        <w:spacing w:after="60"/>
        <w:ind w:firstLine="567"/>
        <w:jc w:val="both"/>
      </w:pPr>
      <w:r>
        <w:rPr>
          <w:rFonts w:ascii="Arial" w:cs="Arial" w:eastAsia="Arial" w:hAnsi="Arial"/>
          <w:sz w:val="24"/>
          <w:szCs w:val="24"/>
        </w:rPr>
        <w:t xml:space="preserve">Кредитный союз, в целях организации работы по оценке риска при заключении, изменении и мониторинге исполнения кредитных сделок обязан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кредитном союзе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w:t>
      </w:r>
    </w:p>
    <w:p>
      <w:pPr>
        <w:spacing w:after="60"/>
        <w:ind w:firstLine="567"/>
        <w:jc w:val="both"/>
      </w:pPr>
      <w:r>
        <w:rPr>
          <w:rFonts w:ascii="Arial" w:cs="Arial" w:eastAsia="Arial" w:hAnsi="Arial"/>
          <w:sz w:val="24"/>
          <w:szCs w:val="24"/>
        </w:rPr>
        <w:t xml:space="preserve">Внутренние документы кредитного союза по управлению кредитной деятельностью должны содержать порядок и требования в части организации работы по обмену кредитной информацией:</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кредитным союзом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Кроме того, во внутренних документах по управлению кредитной деятельностью отражаются основные условия и обязательства,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своевременно сообщать кредитному бюро об изменениях и обновлениях кредитной информации;</w:t>
      </w:r>
    </w:p>
    <w:p>
      <w:pPr>
        <w:spacing w:after="60"/>
        <w:ind w:firstLine="567"/>
        <w:jc w:val="both"/>
      </w:pPr>
      <w:r>
        <w:rPr>
          <w:rFonts w:ascii="Arial" w:cs="Arial" w:eastAsia="Arial" w:hAnsi="Arial"/>
          <w:sz w:val="24"/>
          <w:szCs w:val="24"/>
        </w:rPr>
        <w:t xml:space="preserve">- по требованию субъекта кредитной информации вносить изменения в кредитную информацию, переданную кредитному бюро;</w:t>
      </w:r>
    </w:p>
    <w:p>
      <w:pPr>
        <w:spacing w:after="60"/>
        <w:ind w:firstLine="567"/>
        <w:jc w:val="both"/>
      </w:pPr>
      <w:r>
        <w:rPr>
          <w:rFonts w:ascii="Arial" w:cs="Arial" w:eastAsia="Arial" w:hAnsi="Arial"/>
          <w:sz w:val="24"/>
          <w:szCs w:val="24"/>
        </w:rPr>
        <w:t xml:space="preserve">- обеспечивать бесперебойное функционирование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Кредитный союз несет ответственность за искажение кредитной информации, передаваемой в кредитное бюро, а также за полноту передаваемой информации,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agizpbm1nm6ut6svh_fnr">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3.2.3. Требования по управлению кредитом:</w:t>
      </w:r>
    </w:p>
    <w:p>
      <w:pPr>
        <w:spacing w:after="60"/>
        <w:ind w:firstLine="567"/>
        <w:jc w:val="both"/>
      </w:pPr>
      <w:r>
        <w:rPr>
          <w:rFonts w:ascii="Arial" w:cs="Arial" w:eastAsia="Arial" w:hAnsi="Arial"/>
          <w:sz w:val="24"/>
          <w:szCs w:val="24"/>
        </w:rPr>
        <w:t xml:space="preserve">- ведение адекватного кредитного досье заемщика;</w:t>
      </w:r>
    </w:p>
    <w:p>
      <w:pPr>
        <w:spacing w:after="60"/>
        <w:ind w:firstLine="567"/>
        <w:jc w:val="both"/>
      </w:pPr>
      <w:r>
        <w:rPr>
          <w:rFonts w:ascii="Arial" w:cs="Arial" w:eastAsia="Arial" w:hAnsi="Arial"/>
          <w:sz w:val="24"/>
          <w:szCs w:val="24"/>
        </w:rPr>
        <w:t xml:space="preserve">- контроль за исполнением кредитных договоров;</w:t>
      </w:r>
    </w:p>
    <w:p>
      <w:pPr>
        <w:spacing w:after="60"/>
        <w:ind w:firstLine="567"/>
        <w:jc w:val="both"/>
      </w:pPr>
      <w:r>
        <w:rPr>
          <w:rFonts w:ascii="Arial" w:cs="Arial" w:eastAsia="Arial" w:hAnsi="Arial"/>
          <w:sz w:val="24"/>
          <w:szCs w:val="24"/>
        </w:rPr>
        <w:t xml:space="preserve">- анализ и мониторинг целевого использования кредита;</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кредитов;</w:t>
      </w:r>
    </w:p>
    <w:p>
      <w:pPr>
        <w:spacing w:after="60"/>
        <w:ind w:firstLine="567"/>
        <w:jc w:val="both"/>
      </w:pPr>
      <w:r>
        <w:rPr>
          <w:rFonts w:ascii="Arial" w:cs="Arial" w:eastAsia="Arial" w:hAnsi="Arial"/>
          <w:sz w:val="24"/>
          <w:szCs w:val="24"/>
        </w:rPr>
        <w:t xml:space="preserve">- классификация и формирование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порядок переклассификации реструктуризированных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dfvrzacnvekbthstzryw">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3.2.4. Порядок работы по выявлению, анализу и возврату просроченной и непогашенной задолженности по кредитам.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svemj2ozjel0mpzpvezw">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пределах нормативных требований, установленных законодательством Кыргызской Республики и нормативными правовыми актами НБКР, кредитный союз самостоятельно определяет виды кредитов, формирует кредитный портфель и устанавливает процентные ставки.</w:t>
      </w:r>
    </w:p>
    <w:p>
      <w:pPr>
        <w:spacing w:after="200" w:before="200"/>
        <w:jc w:val="center"/>
      </w:pPr>
      <w:r>
        <w:rPr>
          <w:rFonts w:ascii="Arial" w:cs="Arial" w:eastAsia="Arial" w:hAnsi="Arial"/>
          <w:b/>
          <w:bCs/>
          <w:sz w:val="24"/>
          <w:szCs w:val="24"/>
        </w:rPr>
        <w:t xml:space="preserve">4. Кредитный комитет кредитного союза</w:t>
      </w:r>
    </w:p>
    <w:p>
      <w:pPr>
        <w:spacing w:after="60"/>
        <w:ind w:firstLine="567"/>
        <w:jc w:val="both"/>
      </w:pPr>
      <w:r>
        <w:rPr>
          <w:rFonts w:ascii="Arial" w:cs="Arial" w:eastAsia="Arial" w:hAnsi="Arial"/>
          <w:sz w:val="24"/>
          <w:szCs w:val="24"/>
        </w:rPr>
        <w:t xml:space="preserve">4.1. Органом, осуществляющим кредитную политику, является Кредитный комитет кредитного союза, избираемый Общим собранием кредитного союза. Все вопросы, касающиеся выдачи кредитов, гарантий, обязательств, поручительств и т.д., решаются кредитным комитетом.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fms2rmha6tgidxa73feh">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Сотрудникам кредитного союза, вовлеченным в процессы кредитования и мониторинга, рекомендуется повышать уровень своих знаний в части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Деятельность Кредитного комитета регулируется Положением о Кредитном комитете, которое утверждается Правлением кредитного союза, в пределах полномочий, установленных законодательством и Уставом кредитного союза.</w:t>
      </w:r>
    </w:p>
    <w:p>
      <w:pPr>
        <w:spacing w:after="60"/>
        <w:ind w:firstLine="567"/>
        <w:jc w:val="both"/>
      </w:pPr>
      <w:r>
        <w:rPr>
          <w:rFonts w:ascii="Arial" w:cs="Arial" w:eastAsia="Arial" w:hAnsi="Arial"/>
          <w:sz w:val="24"/>
          <w:szCs w:val="24"/>
        </w:rPr>
        <w:t xml:space="preserve">4.3. Положение о Кредитном комитете должно определять:</w:t>
      </w:r>
    </w:p>
    <w:p>
      <w:pPr>
        <w:spacing w:after="60"/>
        <w:ind w:firstLine="567"/>
        <w:jc w:val="both"/>
      </w:pPr>
      <w:r>
        <w:rPr>
          <w:rFonts w:ascii="Arial" w:cs="Arial" w:eastAsia="Arial" w:hAnsi="Arial"/>
          <w:sz w:val="24"/>
          <w:szCs w:val="24"/>
        </w:rPr>
        <w:t xml:space="preserve">- организацию работы Кредитного комитета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Кредитного комитета;</w:t>
      </w:r>
    </w:p>
    <w:p>
      <w:pPr>
        <w:spacing w:after="60"/>
        <w:ind w:firstLine="567"/>
        <w:jc w:val="both"/>
      </w:pPr>
      <w:r>
        <w:rPr>
          <w:rFonts w:ascii="Arial" w:cs="Arial" w:eastAsia="Arial" w:hAnsi="Arial"/>
          <w:sz w:val="24"/>
          <w:szCs w:val="24"/>
        </w:rPr>
        <w:t xml:space="preserve">- другие вопросы, касающиеся работы Кредитного комитета.</w:t>
      </w:r>
    </w:p>
    <w:p>
      <w:pPr>
        <w:spacing w:after="200" w:before="200"/>
        <w:jc w:val="center"/>
      </w:pPr>
      <w:r>
        <w:rPr>
          <w:rFonts w:ascii="Arial" w:cs="Arial" w:eastAsia="Arial" w:hAnsi="Arial"/>
          <w:b/>
          <w:bCs/>
          <w:sz w:val="24"/>
          <w:szCs w:val="24"/>
        </w:rPr>
        <w:t xml:space="preserve">5. Организация работы кредитного союза по предоставлению кредитов</w:t>
      </w:r>
    </w:p>
    <w:p>
      <w:pPr>
        <w:spacing w:after="60"/>
        <w:ind w:firstLine="567"/>
        <w:jc w:val="both"/>
      </w:pPr>
      <w:r>
        <w:rPr>
          <w:rFonts w:ascii="Arial" w:cs="Arial" w:eastAsia="Arial" w:hAnsi="Arial"/>
          <w:sz w:val="24"/>
          <w:szCs w:val="24"/>
        </w:rPr>
        <w:t xml:space="preserve">5.1. Анализ заявок на получение кредита</w:t>
      </w:r>
    </w:p>
    <w:p>
      <w:pPr>
        <w:spacing w:after="60"/>
        <w:ind w:firstLine="567"/>
        <w:jc w:val="both"/>
      </w:pPr>
      <w:r>
        <w:rPr>
          <w:rFonts w:ascii="Arial" w:cs="Arial" w:eastAsia="Arial" w:hAnsi="Arial"/>
          <w:sz w:val="24"/>
          <w:szCs w:val="24"/>
        </w:rPr>
        <w:t xml:space="preserve">5.1.1. Работа по предоставлению кредитов начинается с момента принятия от заемщика заявки на получение кредита, в которой должны быть указаны цель кредита, требуемая сумма, срок и условия получения кредита, информация об источниках погашения кредита и залоге.</w:t>
      </w:r>
    </w:p>
    <w:p>
      <w:pPr>
        <w:spacing w:after="60"/>
        <w:ind w:firstLine="567"/>
        <w:jc w:val="both"/>
      </w:pPr>
      <w:r>
        <w:rPr>
          <w:rFonts w:ascii="Arial" w:cs="Arial" w:eastAsia="Arial" w:hAnsi="Arial"/>
          <w:sz w:val="24"/>
          <w:szCs w:val="24"/>
        </w:rPr>
        <w:t xml:space="preserve">5.1.2. Все заявки на получение кредитов, представленные на рассмотрение, должны регистрироваться в журнале учета, независимо от принятого по заявке решения.</w:t>
      </w:r>
    </w:p>
    <w:p>
      <w:pPr>
        <w:spacing w:after="60"/>
        <w:ind w:firstLine="567"/>
        <w:jc w:val="both"/>
      </w:pPr>
      <w:r>
        <w:rPr>
          <w:rFonts w:ascii="Arial" w:cs="Arial" w:eastAsia="Arial" w:hAnsi="Arial"/>
          <w:sz w:val="24"/>
          <w:szCs w:val="24"/>
        </w:rPr>
        <w:t xml:space="preserve">Во внутренних политиках кредитного союза должен быть определен срок рассмотрения заявки.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hdgxlosd4mc4mlykdvyh">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В целом каждый анализ заявки на получение кредита должен основываться на политике кредитного союза и концентрироваться на следующих ключевых факторах по проведению анализа платежеспособности заемщика:</w:t>
      </w:r>
    </w:p>
    <w:p>
      <w:pPr>
        <w:spacing w:after="60"/>
        <w:ind w:firstLine="567"/>
        <w:jc w:val="both"/>
      </w:pPr>
      <w:r>
        <w:rPr>
          <w:rFonts w:ascii="Arial" w:cs="Arial" w:eastAsia="Arial" w:hAnsi="Arial"/>
          <w:sz w:val="24"/>
          <w:szCs w:val="24"/>
        </w:rPr>
        <w:t xml:space="preserve">- право заимствовать средства. Кредитный сотрудник должен убедиться в том, что заемщик имеет право на получение кредита и подписание кредитного договора;</w:t>
      </w:r>
    </w:p>
    <w:p>
      <w:pPr>
        <w:spacing w:after="60"/>
        <w:ind w:firstLine="567"/>
        <w:jc w:val="both"/>
      </w:pPr>
      <w:r>
        <w:rPr>
          <w:rFonts w:ascii="Arial" w:cs="Arial" w:eastAsia="Arial" w:hAnsi="Arial"/>
          <w:sz w:val="24"/>
          <w:szCs w:val="24"/>
        </w:rPr>
        <w:t xml:space="preserve">- характер заемщика. Кредитный сотрудник должен установить, что заемщик ответственно относится к заемным средствам, и будет прилагать все усилия для выплаты задолженности. При анализе следует также учитывать, пользовался ли заемщик кредитами в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организациях. А также запросить информацию (кредитный отчет) о заемщике и по усмотрению кредитного союза - о связанных с заемщиком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Кредитный союз должен соблюдать конфиденциальность и сохранность кредитного отчета, полученного от кредитного бюро и не разглашать содержащуюся в нем кредитную информацию третьим лицам и использовать кредитный отчет только для целей, установленных законодательством.</w:t>
      </w:r>
    </w:p>
    <w:p>
      <w:pPr>
        <w:spacing w:after="60"/>
        <w:ind w:firstLine="567"/>
        <w:jc w:val="both"/>
      </w:pPr>
      <w:r>
        <w:rPr>
          <w:rFonts w:ascii="Arial" w:cs="Arial" w:eastAsia="Arial" w:hAnsi="Arial"/>
          <w:sz w:val="24"/>
          <w:szCs w:val="24"/>
        </w:rPr>
        <w:t xml:space="preserve">Кредитный союз несет ответственность за искажение сведений, содержащихся в кредитном отчете.</w:t>
      </w:r>
    </w:p>
    <w:p>
      <w:pPr>
        <w:spacing w:after="60"/>
        <w:ind w:firstLine="567"/>
        <w:jc w:val="both"/>
      </w:pPr>
      <w:r>
        <w:rPr>
          <w:rFonts w:ascii="Arial" w:cs="Arial" w:eastAsia="Arial" w:hAnsi="Arial"/>
          <w:sz w:val="24"/>
          <w:szCs w:val="24"/>
        </w:rPr>
        <w:t xml:space="preserve">- денежные средства. Главный вопрос, на который должен ответить кредитный сотрудник, анализирующий заявку на получение кредита, это: сможет ли заемщик получить достаточно денежных средств в форме дохода и потока наличности для того, чтобы погасить кредит;</w:t>
      </w:r>
    </w:p>
    <w:p>
      <w:pPr>
        <w:spacing w:after="60"/>
        <w:ind w:firstLine="567"/>
        <w:jc w:val="both"/>
      </w:pPr>
      <w:r>
        <w:rPr>
          <w:rFonts w:ascii="Arial" w:cs="Arial" w:eastAsia="Arial" w:hAnsi="Arial"/>
          <w:sz w:val="24"/>
          <w:szCs w:val="24"/>
        </w:rPr>
        <w:t xml:space="preserve">- обеспечение. При оценке обеспечения кредитный сотрудник должен выяснить, располагает ли заемщик достаточными качественными активами для предоставления необходимого обеспечения по кредиту;</w:t>
      </w:r>
    </w:p>
    <w:p>
      <w:pPr>
        <w:spacing w:after="60"/>
        <w:ind w:firstLine="567"/>
        <w:jc w:val="both"/>
      </w:pPr>
      <w:r>
        <w:rPr>
          <w:rFonts w:ascii="Arial" w:cs="Arial" w:eastAsia="Arial" w:hAnsi="Arial"/>
          <w:sz w:val="24"/>
          <w:szCs w:val="24"/>
        </w:rPr>
        <w:t xml:space="preserve">- гарантия (поручительство). Если в качестве обеспечения кредита используется гарантия (поручительство), то следует провести работу по изучению гаранта (поручителя), его профессиональной репутации, платежеспособности, ответственности и готовности выполнять свои обязательства.</w:t>
      </w:r>
    </w:p>
    <w:p>
      <w:pPr>
        <w:spacing w:after="60"/>
        <w:ind w:firstLine="567"/>
        <w:jc w:val="both"/>
      </w:pPr>
      <w:r>
        <w:rPr>
          <w:rFonts w:ascii="Arial" w:cs="Arial" w:eastAsia="Arial" w:hAnsi="Arial"/>
          <w:sz w:val="24"/>
          <w:szCs w:val="24"/>
        </w:rPr>
        <w:t xml:space="preserve">После полного изучения всех документов принимается решение о выдаче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u7zwxkd0nsj3t6gxb_pj7">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В случае, если вопрос о выдаче кредита заемщику решен положительно, то из полученных документов формируется кредитное досье заемщика.</w:t>
      </w:r>
    </w:p>
    <w:p>
      <w:pPr>
        <w:spacing w:after="60"/>
        <w:ind w:firstLine="567"/>
        <w:jc w:val="both"/>
      </w:pPr>
      <w:r>
        <w:rPr>
          <w:rFonts w:ascii="Arial" w:cs="Arial" w:eastAsia="Arial" w:hAnsi="Arial"/>
          <w:sz w:val="24"/>
          <w:szCs w:val="24"/>
        </w:rPr>
        <w:t xml:space="preserve">В кредитном союзе должны быть внутренние документы по работе с данными, содержащие требования по обеспечению сохранности и защиты данных в соответствии с законодательством. Сотрудники кредитного союза при сборе информации и проведении бесед с клиентами должны дать четкое разъяснение, в каких случаях в соответствии с законодательством могут быть использованы данные клиента.</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sz w:val="24"/>
          <w:szCs w:val="24"/>
        </w:rPr>
        <w:t xml:space="preserve">В случае отказа в выдаче кредита, кредитный союз должен письменно уведомить участника о принятом решении с обоснованием причины отказа.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5.1.5. (Утратил силу в соответствии с </w:t>
      </w:r>
      <w:hyperlink w:history="1" r:id="rIdq3tlxkwrmdilg2mwuzlp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16 сентября 2015 года № 53/9)</w:t>
      </w:r>
    </w:p>
    <w:p>
      <w:pPr>
        <w:spacing w:after="60"/>
        <w:ind w:firstLine="567"/>
        <w:jc w:val="both"/>
      </w:pPr>
      <w:r>
        <w:rPr>
          <w:rFonts w:ascii="Arial" w:cs="Arial" w:eastAsia="Arial" w:hAnsi="Arial"/>
          <w:sz w:val="24"/>
          <w:szCs w:val="24"/>
        </w:rPr>
        <w:t xml:space="preserve">5.1.6. Кредитный союз не может выдавать своему участнику ипотечные и потребительские кредиты в иностранной валюте, за исключением лиц, осуществляющих предпринимательскую деятельность на основе свидетельства или патента, и овердрафтов по платежным картам в рамках зарплатных проектов. Не допускается индексирование платежей по данным кредитам в привязке к валюте, отличной от валюты кредитного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Требования к кредитному договору и порядок его заключения.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vndolzouowcvomdxzjn-">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Кредитный договор, заключаемый между кредитным союзом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кредитного договора должно быть не менее чем число заключивших договор сторон. Кредитный союз должен обеспечить сохранность подлинных экземпляров кредитного договора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участника,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oj63yrqlgfuwgivzkzam">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5.2.2.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oauw2dsbmx2csnbfgrxp">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5.2.3. Кредитный союз не вправе в одностороннем порядке менять первоначальные условия кредитного договора без письменного согласия участника, если это ухудшает права и увеличивает обязанности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8kcq6vaqekwvnqcmr5ge">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5.2.4. Номинальная и эффективная процентные ставки должны указываться в кредитном договоре в годовом выражении.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tokvpiys2422_avbgjvb">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5.2.5.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umibdwnneedcjbwvaetd">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5.2.6. В кредитном договоре как минимум указывается: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срок действия кредитного договора;</w:t>
      </w:r>
    </w:p>
    <w:p>
      <w:pPr>
        <w:spacing w:after="60"/>
        <w:ind w:firstLine="567"/>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60"/>
        <w:ind w:firstLine="567"/>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w:t>
      </w:r>
    </w:p>
    <w:p>
      <w:pPr>
        <w:spacing w:after="60"/>
        <w:ind w:firstLine="567"/>
        <w:jc w:val="both"/>
      </w:pPr>
      <w:r>
        <w:rPr>
          <w:rFonts w:ascii="Arial" w:cs="Arial" w:eastAsia="Arial" w:hAnsi="Arial"/>
          <w:sz w:val="24"/>
          <w:szCs w:val="24"/>
        </w:rPr>
        <w:t xml:space="preserve">- права и обязанности кредитного союза;</w:t>
      </w:r>
    </w:p>
    <w:p>
      <w:pPr>
        <w:spacing w:after="60"/>
        <w:ind w:firstLine="567"/>
        <w:jc w:val="both"/>
      </w:pPr>
      <w:r>
        <w:rPr>
          <w:rFonts w:ascii="Arial" w:cs="Arial" w:eastAsia="Arial" w:hAnsi="Arial"/>
          <w:sz w:val="24"/>
          <w:szCs w:val="24"/>
        </w:rPr>
        <w:t xml:space="preserve">- условия предоставления информации о заемщике в кредитное бюро (если данный кредитный союз является его участником);</w:t>
      </w:r>
    </w:p>
    <w:p>
      <w:pPr>
        <w:spacing w:after="60"/>
        <w:ind w:firstLine="567"/>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w:t>
      </w:r>
    </w:p>
    <w:p>
      <w:pPr>
        <w:spacing w:after="60"/>
        <w:ind w:firstLine="567"/>
        <w:jc w:val="both"/>
      </w:pPr>
      <w:r>
        <w:rPr>
          <w:rFonts w:ascii="Arial" w:cs="Arial" w:eastAsia="Arial" w:hAnsi="Arial"/>
          <w:sz w:val="24"/>
          <w:szCs w:val="24"/>
        </w:rPr>
        <w:t xml:space="preserve">- право участника на досрочное погашение кредита в любое время, без каких-либо штрафных санкций, при условии уведомления об этом кредитного союза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v0w6jqo85d5-vk-lsjmr">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5.2.7. Кредитный союз должен ознакомить участника с перечнем прав, расходов (платежей) участника, который составляется в табличной форме в соответствии с </w:t>
      </w:r>
      <w:hyperlink w:history="1" r:id="rIdqj6mgpao7xwgsealbwcws">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60"/>
        <w:ind w:firstLine="567"/>
        <w:jc w:val="both"/>
      </w:pPr>
      <w:r>
        <w:rPr>
          <w:rFonts w:ascii="Arial" w:cs="Arial" w:eastAsia="Arial" w:hAnsi="Arial"/>
          <w:sz w:val="24"/>
          <w:szCs w:val="24"/>
        </w:rPr>
        <w:t xml:space="preserve">При необходимости кредитный союз должен предоставить участнику разъяснения по порядку расчетов платежей по кредиту, пени, штрафов и др.</w:t>
      </w:r>
    </w:p>
    <w:p>
      <w:pPr>
        <w:spacing w:after="60"/>
        <w:ind w:firstLine="567"/>
        <w:jc w:val="both"/>
      </w:pPr>
      <w:r>
        <w:rPr>
          <w:rFonts w:ascii="Arial" w:cs="Arial" w:eastAsia="Arial" w:hAnsi="Arial"/>
          <w:sz w:val="24"/>
          <w:szCs w:val="24"/>
        </w:rPr>
        <w:t xml:space="preserve">Кредитный союз не вправе включать в условия кредитного договора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qpbywdxuds22eg8zxlw9a">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hyperlink w:history="1" r:id="rId5yuoxlwhzfnpaybdc0ama">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5.2.8. После заключения кредитного договора с участником и получения им денежных средств заемщику должны быть переданы как минимум следующие документы:</w:t>
      </w:r>
    </w:p>
    <w:p>
      <w:pPr>
        <w:spacing w:after="60"/>
        <w:ind w:firstLine="567"/>
        <w:jc w:val="both"/>
      </w:pPr>
      <w:r>
        <w:rPr>
          <w:rFonts w:ascii="Arial" w:cs="Arial" w:eastAsia="Arial" w:hAnsi="Arial"/>
          <w:sz w:val="24"/>
          <w:szCs w:val="24"/>
        </w:rPr>
        <w:t xml:space="preserve">- кредитный договор, подписанный сторонами, со всеми прилагаемыми к нему документами;</w:t>
      </w:r>
    </w:p>
    <w:p>
      <w:pPr>
        <w:spacing w:after="60"/>
        <w:ind w:firstLine="567"/>
        <w:jc w:val="both"/>
      </w:pPr>
      <w:r>
        <w:rPr>
          <w:rFonts w:ascii="Arial" w:cs="Arial" w:eastAsia="Arial" w:hAnsi="Arial"/>
          <w:sz w:val="24"/>
          <w:szCs w:val="24"/>
        </w:rPr>
        <w:t xml:space="preserve">- перечень прав, расходов (платежей) участников кредитного союза и штрафных санкций;</w:t>
      </w:r>
    </w:p>
    <w:p>
      <w:pPr>
        <w:spacing w:after="60"/>
        <w:ind w:firstLine="567"/>
        <w:jc w:val="both"/>
      </w:pPr>
      <w:r>
        <w:rPr>
          <w:rFonts w:ascii="Arial" w:cs="Arial" w:eastAsia="Arial" w:hAnsi="Arial"/>
          <w:sz w:val="24"/>
          <w:szCs w:val="24"/>
        </w:rPr>
        <w:t xml:space="preserve">- график платежей с указанием дат и сумм погашения, прилагаемый к кредитному договору.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z421zy4eervtwyi3hrqb">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5.2.9. Кредитное досье заемщика (минимальные требования к досье представлены в </w:t>
      </w:r>
      <w:hyperlink w:history="1" r:id="rIdd8iiap_kqzeihzyhxedwh">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формируется с момента получения от участника заявки, и в него подшиваются все соответствующие документы по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1zig6efggfw3tiy0bz1i">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5.2.10. При проведении мониторинга кредитов кредитному союзу следует документировать и вести учет всех мероприятий, проводимых по ним, включая осуществление записи в журнале краткого содержания телефонных переговоров и встреч с клиентом. Особенно важно производить такой учет в работе с проблемными кредитами.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iwm8hjhu8f1gjgjxrepv">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Обеспечение возврата кредита</w:t>
      </w:r>
    </w:p>
    <w:p>
      <w:pPr>
        <w:spacing w:after="60"/>
        <w:ind w:firstLine="567"/>
        <w:jc w:val="both"/>
      </w:pPr>
      <w:r>
        <w:rPr>
          <w:rFonts w:ascii="Arial" w:cs="Arial" w:eastAsia="Arial" w:hAnsi="Arial"/>
          <w:sz w:val="24"/>
          <w:szCs w:val="24"/>
        </w:rPr>
        <w:t xml:space="preserve">5.3.1. Кредиты могут быть обеспеченными или без обеспечения (бланковыми).</w:t>
      </w:r>
    </w:p>
    <w:p>
      <w:pPr>
        <w:spacing w:after="60"/>
        <w:ind w:firstLine="567"/>
        <w:jc w:val="both"/>
      </w:pPr>
      <w:r>
        <w:rPr>
          <w:rFonts w:ascii="Arial" w:cs="Arial" w:eastAsia="Arial" w:hAnsi="Arial"/>
          <w:sz w:val="24"/>
          <w:szCs w:val="24"/>
        </w:rPr>
        <w:t xml:space="preserve">5.3.2. Различают первичные и вторичные источники погашения кредита:</w:t>
      </w:r>
    </w:p>
    <w:p>
      <w:pPr>
        <w:spacing w:after="60"/>
        <w:ind w:firstLine="567"/>
        <w:jc w:val="both"/>
      </w:pPr>
      <w:r>
        <w:rPr>
          <w:rFonts w:ascii="Arial" w:cs="Arial" w:eastAsia="Arial" w:hAnsi="Arial"/>
          <w:sz w:val="24"/>
          <w:szCs w:val="24"/>
        </w:rPr>
        <w:t xml:space="preserve">- первичным источником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 вторичным источником являются средства, полученные от реализации заложенного имущества, перечисление средств поручителем или гарантом.</w:t>
      </w:r>
    </w:p>
    <w:p>
      <w:pPr>
        <w:spacing w:after="60"/>
        <w:ind w:firstLine="567"/>
        <w:jc w:val="both"/>
      </w:pPr>
      <w:r>
        <w:rPr>
          <w:rFonts w:ascii="Arial" w:cs="Arial" w:eastAsia="Arial" w:hAnsi="Arial"/>
          <w:sz w:val="24"/>
          <w:szCs w:val="24"/>
        </w:rPr>
        <w:t xml:space="preserve">5.3.3. При выдаче кредита необходимо ориентироваться, прежде всего, на первичный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перспективам развития отрасли и бизнеса данного заемщика.</w:t>
      </w:r>
    </w:p>
    <w:p>
      <w:pPr>
        <w:spacing w:after="60"/>
        <w:ind w:firstLine="567"/>
        <w:jc w:val="both"/>
      </w:pPr>
      <w:r>
        <w:rPr>
          <w:rFonts w:ascii="Arial" w:cs="Arial" w:eastAsia="Arial" w:hAnsi="Arial"/>
          <w:sz w:val="24"/>
          <w:szCs w:val="24"/>
        </w:rPr>
        <w:t xml:space="preserve">5.3.4.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и другие способы, предусмотренные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5.3.5. Залог имущества как вторичный источник погашения кредита оформляется договором о залоге, подтверждающим право кредитора при неисполнении заемщиком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5.3.6.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оценка;</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кредитного союза в случае невозврата заемщиком кредита;</w:t>
      </w:r>
    </w:p>
    <w:p>
      <w:pPr>
        <w:spacing w:after="60"/>
        <w:ind w:firstLine="567"/>
        <w:jc w:val="both"/>
      </w:pPr>
      <w:r>
        <w:rPr>
          <w:rFonts w:ascii="Arial" w:cs="Arial" w:eastAsia="Arial" w:hAnsi="Arial"/>
          <w:sz w:val="24"/>
          <w:szCs w:val="24"/>
        </w:rPr>
        <w:t xml:space="preserve">- другие требования и обязанности сторон по отношению к залогу в соответствии с законодательством Кыргызской Республики.</w:t>
      </w:r>
    </w:p>
    <w:p>
      <w:pPr>
        <w:spacing w:after="120"/>
        <w:jc w:val="both"/>
      </w:pPr>
      <w:r>
        <w:rPr>
          <w:rFonts w:ascii="Arial" w:cs="Arial" w:eastAsia="Arial" w:hAnsi="Arial"/>
          <w:sz w:val="24"/>
          <w:szCs w:val="24"/>
        </w:rPr>
        <w:t xml:space="preserve">5.3.7. К договору о залоге прилагается полная опись закладываемого имущества с указанием стоимости, а также сертификаты, удостоверения, и, если имеются, прочая техническая документация. Договор о залоге должен быть оформлен в письменной форме и зарегистрирован в уполномоченном государственном органе Кыргызской Республики в соответствии с законодательством Кыргызской Республики. Договор о залоге недвижимого имущества подлежит обязательной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Количество подлинных экземпляров договора о залоге должно соответствовать количеству сторон для нотариального удостоверения и регистрации в уполномоченном органе.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l04js82xuuh_uzxzlhrh">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5.3.8.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hyperlink w:history="1" r:id="rIdio4-n3j9ueclpnqrmoqk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5.3.9. Если обеспечением кредита выступают гарантии и поручительства, то имущественную ответственность за заемщика в случае, когда он не может платить, несет, как правило, третье лицо. При выдаче кредита, обеспеченного гарантией либо поручительством, кредитный союз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w:t>
      </w:r>
    </w:p>
    <w:p>
      <w:pPr>
        <w:spacing w:after="60"/>
        <w:ind w:firstLine="567"/>
        <w:jc w:val="both"/>
      </w:pPr>
      <w:r>
        <w:rPr>
          <w:rFonts w:ascii="Arial" w:cs="Arial" w:eastAsia="Arial" w:hAnsi="Arial"/>
          <w:sz w:val="24"/>
          <w:szCs w:val="24"/>
        </w:rPr>
        <w:t xml:space="preserve">5.3.10. Выставление в обеспечение кредита высоколиквидного залога в виде Государственных казначейских векселей, нот НБКР, а также депозитов в коммерческих банках должно предполагать облегченную процедуру предоставления кредита.</w:t>
      </w:r>
    </w:p>
    <w:p>
      <w:pPr>
        <w:spacing w:after="60"/>
        <w:ind w:firstLine="567"/>
        <w:jc w:val="both"/>
      </w:pPr>
      <w:r>
        <w:rPr>
          <w:rFonts w:ascii="Arial" w:cs="Arial" w:eastAsia="Arial" w:hAnsi="Arial"/>
          <w:sz w:val="24"/>
          <w:szCs w:val="24"/>
        </w:rPr>
        <w:t xml:space="preserve">5.3.11. Кредиты без обеспечения (бланковые) не предполагают залога активов заемщика и выдаются исключительно кредитоспособному заемщику на основании его репутации и оценки уровня его доходов. Максимальный размер риска по кредитам, необеспеченных залогами, устанавливается в кредитной политике.</w:t>
      </w:r>
    </w:p>
    <w:p>
      <w:pPr>
        <w:spacing w:after="200" w:before="200"/>
        <w:jc w:val="center"/>
      </w:pPr>
      <w:r>
        <w:rPr>
          <w:rFonts w:ascii="Arial" w:cs="Arial" w:eastAsia="Arial" w:hAnsi="Arial"/>
          <w:b/>
          <w:bCs/>
          <w:sz w:val="24"/>
          <w:szCs w:val="24"/>
        </w:rPr>
        <w:t xml:space="preserve">6. Кредитный мониторинг</w:t>
      </w:r>
    </w:p>
    <w:p>
      <w:pPr>
        <w:spacing w:after="60"/>
        <w:ind w:firstLine="567"/>
        <w:jc w:val="both"/>
      </w:pPr>
      <w:r>
        <w:rPr>
          <w:rFonts w:ascii="Arial" w:cs="Arial" w:eastAsia="Arial" w:hAnsi="Arial"/>
          <w:sz w:val="24"/>
          <w:szCs w:val="24"/>
        </w:rPr>
        <w:t xml:space="preserve">6.1. После заключения кредитного договора и получения заемщиком кредита кредитному союзу необходимо осуществлять постоянный мониторинг за кредитом и заемщиком, главная цель которого состоит в обеспечении своевременного погашения кредита, регулярной выплаты процентов и в выявлении проблем на ранней стадии.</w:t>
      </w:r>
    </w:p>
    <w:p>
      <w:pPr>
        <w:spacing w:after="60"/>
        <w:ind w:firstLine="567"/>
        <w:jc w:val="both"/>
      </w:pPr>
      <w:r>
        <w:rPr>
          <w:rFonts w:ascii="Arial" w:cs="Arial" w:eastAsia="Arial" w:hAnsi="Arial"/>
          <w:sz w:val="24"/>
          <w:szCs w:val="24"/>
        </w:rPr>
        <w:t xml:space="preserve">6.2. С целью постоянного контроля за сохранностью заложенного имущества и выявления возможных изменений его текущей стоимости, кредитный союз должен периодически(*), проводить мониторинг залога в местах его хранения и местонахождения. Периодичность мониторинга залога определяется кредитным союзом в соответствии с кредитной политикой и зависит от вида залога, качества кредита и других факторов.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изменение рыночной стоимости обеспечения;</w:t>
      </w:r>
    </w:p>
    <w:p>
      <w:pPr>
        <w:spacing w:after="60"/>
        <w:ind w:firstLine="567"/>
        <w:jc w:val="both"/>
      </w:pPr>
      <w:r>
        <w:rPr>
          <w:rFonts w:ascii="Arial" w:cs="Arial" w:eastAsia="Arial" w:hAnsi="Arial"/>
          <w:sz w:val="24"/>
          <w:szCs w:val="24"/>
        </w:rPr>
        <w:t xml:space="preserve">- наличие каких-либо факторов, влияющих на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обеспечение режима сохранности залога.</w:t>
      </w:r>
    </w:p>
    <w:p>
      <w:pPr>
        <w:spacing w:after="60"/>
        <w:ind w:firstLine="567"/>
        <w:jc w:val="both"/>
      </w:pPr>
      <w:r>
        <w:rPr>
          <w:rFonts w:ascii="Arial" w:cs="Arial" w:eastAsia="Arial" w:hAnsi="Arial"/>
          <w:sz w:val="24"/>
          <w:szCs w:val="24"/>
        </w:rPr>
        <w:t xml:space="preserve">(*) Периодичность проведения мониторинга должна определяться кредитным союзом в зависимости от срока, на который выдан кредит. Если срок кредита более одного года, мониторинг заложенного имущества должен проводиться один раз в год.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yqw1xdqdywqrzxkhg152">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Классификация кредита должна осуществляться Кредитным комитетом.</w:t>
      </w:r>
    </w:p>
    <w:p>
      <w:pPr>
        <w:spacing w:after="60"/>
        <w:ind w:firstLine="567"/>
        <w:jc w:val="both"/>
      </w:pPr>
      <w:r>
        <w:rPr>
          <w:rFonts w:ascii="Arial" w:cs="Arial" w:eastAsia="Arial" w:hAnsi="Arial"/>
          <w:sz w:val="24"/>
          <w:szCs w:val="24"/>
        </w:rPr>
        <w:t xml:space="preserve">6.4. К признакам, которые могут служить предупредительными сигналами ухудшения состояния кредита, относятся, в частности:</w:t>
      </w:r>
    </w:p>
    <w:p>
      <w:pPr>
        <w:spacing w:after="60"/>
        <w:ind w:firstLine="567"/>
        <w:jc w:val="both"/>
      </w:pPr>
      <w:r>
        <w:rPr>
          <w:rFonts w:ascii="Arial" w:cs="Arial" w:eastAsia="Arial" w:hAnsi="Arial"/>
          <w:sz w:val="24"/>
          <w:szCs w:val="24"/>
        </w:rPr>
        <w:t xml:space="preserve">- уклонение заемщика от контактов с кредитным союзом;</w:t>
      </w:r>
    </w:p>
    <w:p>
      <w:pPr>
        <w:spacing w:after="60"/>
        <w:ind w:firstLine="567"/>
        <w:jc w:val="both"/>
      </w:pPr>
      <w:r>
        <w:rPr>
          <w:rFonts w:ascii="Arial" w:cs="Arial" w:eastAsia="Arial" w:hAnsi="Arial"/>
          <w:sz w:val="24"/>
          <w:szCs w:val="24"/>
        </w:rPr>
        <w:t xml:space="preserve">- ухудшение финансового состояния заемщика;</w:t>
      </w:r>
    </w:p>
    <w:p>
      <w:pPr>
        <w:spacing w:after="60"/>
        <w:ind w:firstLine="567"/>
        <w:jc w:val="both"/>
      </w:pPr>
      <w:r>
        <w:rPr>
          <w:rFonts w:ascii="Arial" w:cs="Arial" w:eastAsia="Arial" w:hAnsi="Arial"/>
          <w:sz w:val="24"/>
          <w:szCs w:val="24"/>
        </w:rPr>
        <w:t xml:space="preserve">- несвоевременная выплата основной суммы или процентов;</w:t>
      </w:r>
    </w:p>
    <w:p>
      <w:pPr>
        <w:spacing w:after="60"/>
        <w:ind w:firstLine="567"/>
        <w:jc w:val="both"/>
      </w:pPr>
      <w:r>
        <w:rPr>
          <w:rFonts w:ascii="Arial" w:cs="Arial" w:eastAsia="Arial" w:hAnsi="Arial"/>
          <w:sz w:val="24"/>
          <w:szCs w:val="24"/>
        </w:rPr>
        <w:t xml:space="preserve">- просьба о пролонгации;</w:t>
      </w:r>
    </w:p>
    <w:p>
      <w:pPr>
        <w:spacing w:after="60"/>
        <w:ind w:firstLine="567"/>
        <w:jc w:val="both"/>
      </w:pPr>
      <w:r>
        <w:rPr>
          <w:rFonts w:ascii="Arial" w:cs="Arial" w:eastAsia="Arial" w:hAnsi="Arial"/>
          <w:sz w:val="24"/>
          <w:szCs w:val="24"/>
        </w:rPr>
        <w:t xml:space="preserve">- нецелевое использование кредита;</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 из каких-либо источников;</w:t>
      </w:r>
    </w:p>
    <w:p>
      <w:pPr>
        <w:spacing w:after="60"/>
        <w:ind w:firstLine="567"/>
        <w:jc w:val="both"/>
      </w:pPr>
      <w:r>
        <w:rPr>
          <w:rFonts w:ascii="Arial" w:cs="Arial" w:eastAsia="Arial" w:hAnsi="Arial"/>
          <w:sz w:val="24"/>
          <w:szCs w:val="24"/>
        </w:rPr>
        <w:t xml:space="preserve">- признаки нарастания конфликта внутри предприятия-заемщика;</w:t>
      </w:r>
    </w:p>
    <w:p>
      <w:pPr>
        <w:spacing w:after="60"/>
        <w:ind w:firstLine="567"/>
        <w:jc w:val="both"/>
      </w:pPr>
      <w:r>
        <w:rPr>
          <w:rFonts w:ascii="Arial" w:cs="Arial" w:eastAsia="Arial" w:hAnsi="Arial"/>
          <w:sz w:val="24"/>
          <w:szCs w:val="24"/>
        </w:rPr>
        <w:t xml:space="preserve">- смена руководства предприятия-заемщика;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6.5. При выявлении каких-либо из вышеуказанных предупредительных сигналов, кредитному союзу необходимо уточнить причину их появления. Если эта причина таит в себе хоть минимальную возможность потенциального ухудшения состояния кредита, кредитному союзу следует взять данный кредит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кредитной линии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заемщика и состояния отрасли, в которую он поместил занятые средства;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i/>
          <w:iCs/>
          <w:sz w:val="24"/>
          <w:szCs w:val="24"/>
        </w:rPr>
        <w:t xml:space="preserve">6.6. (Утратил силу в соответствии с </w:t>
      </w:r>
      <w:hyperlink w:history="1" r:id="rIdssdddxfuijghj2mdzvq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16 сентября 2015 года № 53/9)</w:t>
      </w:r>
    </w:p>
    <w:p>
      <w:pPr>
        <w:spacing w:after="200" w:before="200"/>
        <w:jc w:val="center"/>
      </w:pPr>
      <w:r>
        <w:rPr>
          <w:rFonts w:ascii="Arial" w:cs="Arial" w:eastAsia="Arial" w:hAnsi="Arial"/>
          <w:b/>
          <w:bCs/>
          <w:sz w:val="24"/>
          <w:szCs w:val="24"/>
        </w:rPr>
        <w:t xml:space="preserve">7. Работа с "проблемными" кредитами</w:t>
      </w:r>
    </w:p>
    <w:p>
      <w:pPr>
        <w:spacing w:after="60"/>
        <w:ind w:firstLine="567"/>
        <w:jc w:val="both"/>
      </w:pPr>
      <w:r>
        <w:rPr>
          <w:rFonts w:ascii="Arial" w:cs="Arial" w:eastAsia="Arial" w:hAnsi="Arial"/>
          <w:sz w:val="24"/>
          <w:szCs w:val="24"/>
        </w:rPr>
        <w:t xml:space="preserve">7.1. Целью постоянного мониторинга за кредитом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sz w:val="24"/>
          <w:szCs w:val="24"/>
        </w:rPr>
        <w:t xml:space="preserve">7.2. Под "проблемными" понимаются кредиты, по которым заемщик не выполняет условия договора с кредитным союзом, либо в силу каких-либо обстоятельств (например, внешних или финансовых) ставится под угрозу выполнение обязательств перед кредитным союзом и погашение кредита.</w:t>
      </w:r>
    </w:p>
    <w:p>
      <w:pPr>
        <w:spacing w:after="60"/>
        <w:ind w:firstLine="567"/>
        <w:jc w:val="both"/>
      </w:pPr>
      <w:r>
        <w:rPr>
          <w:rFonts w:ascii="Arial" w:cs="Arial" w:eastAsia="Arial" w:hAnsi="Arial"/>
          <w:sz w:val="24"/>
          <w:szCs w:val="24"/>
        </w:rPr>
        <w:t xml:space="preserve">7.3. В случае признания кредита "проблемным" необходимо разработать план действий кредитного союза, направленный на возврат кредита, который включает в себя ряд мероприятий:</w:t>
      </w:r>
    </w:p>
    <w:p>
      <w:pPr>
        <w:spacing w:after="60"/>
        <w:ind w:firstLine="567"/>
        <w:jc w:val="both"/>
      </w:pPr>
      <w:r>
        <w:rPr>
          <w:rFonts w:ascii="Arial" w:cs="Arial" w:eastAsia="Arial" w:hAnsi="Arial"/>
          <w:sz w:val="24"/>
          <w:szCs w:val="24"/>
        </w:rPr>
        <w:t xml:space="preserve">7.3.1. Мероприятия по организационной, финансовой и иной помощи кредитного союза проблемному заемщику, способствующие преодолению кризиса и выполнению обязательств заемщика перед кредитным союзом:</w:t>
      </w:r>
    </w:p>
    <w:p>
      <w:pPr>
        <w:spacing w:after="60"/>
        <w:ind w:firstLine="567"/>
        <w:jc w:val="both"/>
      </w:pPr>
      <w:r>
        <w:rPr>
          <w:rFonts w:ascii="Arial" w:cs="Arial" w:eastAsia="Arial" w:hAnsi="Arial"/>
          <w:sz w:val="24"/>
          <w:szCs w:val="24"/>
        </w:rPr>
        <w:t xml:space="preserve">- работа с заемщиком (руководством заемщика) по выявлению проблем и поиску их решений;</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разработка программы изменения структуры задолженности (пересмотр графика платежей по возврату кредита и выплате процентов, изменение форм кредитования и др.).</w:t>
      </w:r>
    </w:p>
    <w:p>
      <w:pPr>
        <w:spacing w:after="60"/>
        <w:ind w:firstLine="567"/>
        <w:jc w:val="both"/>
      </w:pPr>
      <w:r>
        <w:rPr>
          <w:rFonts w:ascii="Arial" w:cs="Arial" w:eastAsia="Arial" w:hAnsi="Arial"/>
          <w:sz w:val="24"/>
          <w:szCs w:val="24"/>
        </w:rPr>
        <w:t xml:space="preserve">7.3.2. Наряду с этими мероприятиями необходимо вести постоянную работу с самим заемщиком, которая может заключаться в следующем:</w:t>
      </w:r>
    </w:p>
    <w:p>
      <w:pPr>
        <w:spacing w:after="60"/>
        <w:ind w:firstLine="567"/>
        <w:jc w:val="both"/>
      </w:pPr>
      <w:r>
        <w:rPr>
          <w:rFonts w:ascii="Arial" w:cs="Arial" w:eastAsia="Arial" w:hAnsi="Arial"/>
          <w:sz w:val="24"/>
          <w:szCs w:val="24"/>
        </w:rPr>
        <w:t xml:space="preserve">- уведомление заемщика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и бесед сотрудники кредитного союза должны строго придерживаться принятого делового и профессионального этикета поведения.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7.3.3. В целях обеспечения непосредственного возврата кредита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При оказании услуг по кредитованию кредитный союз, в соответствии с договором о залоге, являющимся неотъемлемой частью кредитного договора, должен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sz w:val="24"/>
          <w:szCs w:val="24"/>
        </w:rPr>
        <w:t xml:space="preserve">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7.3.4. Кредитный союз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ng0njyeekesbmbwtfywc">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Кредитный сотрудник, ответственный за работу с проблемными кредитами, должен на ежемесячной основе представлять на рассмотрение Кредитного комитета информацию о проделанной работе с предложениями о дальнейших действиях в отношении "проблемных" кредитов. Копии отчета направляются Правлению кредитного союза.</w:t>
      </w:r>
    </w:p>
    <w:p>
      <w:pPr>
        <w:spacing w:after="60"/>
        <w:ind w:firstLine="567"/>
        <w:jc w:val="both"/>
      </w:pPr>
      <w:r>
        <w:rPr>
          <w:rFonts w:ascii="Arial" w:cs="Arial" w:eastAsia="Arial" w:hAnsi="Arial"/>
          <w:sz w:val="24"/>
          <w:szCs w:val="24"/>
        </w:rPr>
        <w:t xml:space="preserve">7.5. Если вышеуказанные действия кредитного союза не привели к положительному результату, кредитный союз может обратиться в суд с целью принудительного взыскания задолженности.</w:t>
      </w:r>
    </w:p>
    <w:p>
      <w:pPr>
        <w:spacing w:after="60"/>
        <w:ind w:firstLine="567"/>
        <w:jc w:val="both"/>
      </w:pPr>
      <w:r>
        <w:rPr>
          <w:rFonts w:ascii="Arial" w:cs="Arial" w:eastAsia="Arial" w:hAnsi="Arial"/>
          <w:sz w:val="24"/>
          <w:szCs w:val="24"/>
        </w:rPr>
        <w:t xml:space="preserve">7.6. После исчерпания всех юридических возможностей возврата кредита, решение о списании кредитов в соответствии с нормативными правовыми актами НБКР.</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400" w:before="400"/>
        <w:jc w:val="center"/>
      </w:pPr>
      <w:r>
        <w:rPr>
          <w:rFonts w:ascii="Arial" w:cs="Arial" w:eastAsia="Arial" w:hAnsi="Arial"/>
          <w:b/>
          <w:bCs/>
          <w:sz w:val="32"/>
          <w:szCs w:val="32"/>
        </w:rPr>
        <w:t xml:space="preserve">МИНИМАЛЬНЫЕ ТРЕБОВАНИЯ</w:t>
      </w:r>
      <w:r>
        <w:rPr>
          <w:rFonts w:ascii="Arial" w:cs="Arial" w:eastAsia="Arial" w:hAnsi="Arial"/>
          <w:b/>
          <w:bCs/>
          <w:sz w:val="32"/>
          <w:szCs w:val="32"/>
        </w:rPr>
        <w:t xml:space="preserve">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ps2nyvwrtwmvc_qpvg69x">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sbkybfcjlziu37vau7hxp">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4cvjf_v6xao5zty7nm7jp">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Заявка на получение кредита по установленной КС форме.</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о полученных/погашенных/непогашенных ранее в данном КС и других финансово-кредитных организациях кредитах, за последние шесть месяцев, предшествующих подаче в КС заявки.</w:t>
      </w:r>
    </w:p>
    <w:p>
      <w:pPr>
        <w:spacing w:after="60"/>
        <w:ind w:firstLine="567"/>
        <w:jc w:val="both"/>
      </w:pPr>
      <w:r>
        <w:rPr>
          <w:rFonts w:ascii="Arial" w:cs="Arial" w:eastAsia="Arial" w:hAnsi="Arial"/>
          <w:sz w:val="24"/>
          <w:szCs w:val="24"/>
        </w:rPr>
        <w:t xml:space="preserve">2-1. Кредитный отчет на заемщика с кредитного бюро.</w:t>
      </w:r>
    </w:p>
    <w:p>
      <w:pPr>
        <w:spacing w:after="60"/>
        <w:ind w:firstLine="567"/>
        <w:jc w:val="both"/>
      </w:pPr>
      <w:r>
        <w:rPr>
          <w:rFonts w:ascii="Arial" w:cs="Arial" w:eastAsia="Arial" w:hAnsi="Arial"/>
          <w:sz w:val="24"/>
          <w:szCs w:val="24"/>
        </w:rPr>
        <w:t xml:space="preserve">2-2. Согласие клиента на предоставление кредитного отчета о себе (может быть указано в заявке на получение кредита).</w:t>
      </w:r>
    </w:p>
    <w:p>
      <w:pPr>
        <w:spacing w:after="60"/>
        <w:ind w:firstLine="567"/>
        <w:jc w:val="both"/>
      </w:pPr>
      <w:r>
        <w:rPr>
          <w:rFonts w:ascii="Arial" w:cs="Arial" w:eastAsia="Arial" w:hAnsi="Arial"/>
          <w:sz w:val="24"/>
          <w:szCs w:val="24"/>
        </w:rPr>
        <w:t xml:space="preserve">3. Копия документа, удостоверяющего личность, по которой возможно идентифицировать участника КС.</w:t>
      </w:r>
    </w:p>
    <w:p>
      <w:pPr>
        <w:spacing w:after="60"/>
        <w:ind w:firstLine="567"/>
        <w:jc w:val="both"/>
      </w:pPr>
      <w:r>
        <w:rPr>
          <w:rFonts w:ascii="Arial" w:cs="Arial" w:eastAsia="Arial" w:hAnsi="Arial"/>
          <w:sz w:val="24"/>
          <w:szCs w:val="24"/>
        </w:rPr>
        <w:t xml:space="preserve">4. Информация о доходах участника.</w:t>
      </w:r>
    </w:p>
    <w:p>
      <w:pPr>
        <w:spacing w:after="60"/>
        <w:ind w:firstLine="567"/>
        <w:jc w:val="both"/>
      </w:pPr>
      <w:r>
        <w:rPr>
          <w:rFonts w:ascii="Arial" w:cs="Arial" w:eastAsia="Arial" w:hAnsi="Arial"/>
          <w:sz w:val="24"/>
          <w:szCs w:val="24"/>
        </w:rPr>
        <w:t xml:space="preserve">5. Опись закладываемого имущества (если имеется).</w:t>
      </w:r>
    </w:p>
    <w:p>
      <w:pPr>
        <w:spacing w:after="60"/>
        <w:ind w:firstLine="567"/>
        <w:jc w:val="both"/>
      </w:pPr>
      <w:r>
        <w:rPr>
          <w:rFonts w:ascii="Arial" w:cs="Arial" w:eastAsia="Arial" w:hAnsi="Arial"/>
          <w:sz w:val="24"/>
          <w:szCs w:val="24"/>
        </w:rPr>
        <w:t xml:space="preserve">6. Согласие супруга/ги участника на получение кредита (по кредитам свыше 50000 сомов на одного заемщика и при получении кредита, при наличии действующих кредитов).</w:t>
      </w:r>
    </w:p>
    <w:p>
      <w:pPr>
        <w:spacing w:after="60"/>
        <w:ind w:firstLine="567"/>
        <w:jc w:val="both"/>
      </w:pPr>
      <w:r>
        <w:rPr>
          <w:rFonts w:ascii="Arial" w:cs="Arial" w:eastAsia="Arial" w:hAnsi="Arial"/>
          <w:sz w:val="24"/>
          <w:szCs w:val="24"/>
        </w:rPr>
        <w:t xml:space="preserve">7. Для участника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60"/>
        <w:ind w:firstLine="567"/>
        <w:jc w:val="both"/>
      </w:pPr>
      <w:r>
        <w:rPr>
          <w:rFonts w:ascii="Arial" w:cs="Arial" w:eastAsia="Arial" w:hAnsi="Arial"/>
          <w:sz w:val="24"/>
          <w:szCs w:val="24"/>
        </w:rPr>
        <w:t xml:space="preserve">- копия патента (при наличии).</w:t>
      </w:r>
    </w:p>
    <w:p>
      <w:pPr>
        <w:spacing w:after="60"/>
        <w:ind w:firstLine="567"/>
        <w:jc w:val="both"/>
      </w:pPr>
      <w:r>
        <w:rPr>
          <w:rFonts w:ascii="Arial" w:cs="Arial" w:eastAsia="Arial" w:hAnsi="Arial"/>
          <w:sz w:val="24"/>
          <w:szCs w:val="24"/>
        </w:rPr>
        <w:t xml:space="preserve">7-1. Нотариально заверенные карточки с образцами подписей лиц, имеющих право подписи (если заемщик - юридическое лицо).</w:t>
      </w:r>
    </w:p>
    <w:p>
      <w:pPr>
        <w:spacing w:after="60"/>
        <w:ind w:firstLine="567"/>
        <w:jc w:val="both"/>
      </w:pPr>
      <w:r>
        <w:rPr>
          <w:rFonts w:ascii="Arial" w:cs="Arial" w:eastAsia="Arial" w:hAnsi="Arial"/>
          <w:sz w:val="24"/>
          <w:szCs w:val="24"/>
        </w:rPr>
        <w:t xml:space="preserve">8. Оценка источников денежных средств, подтверждающих платежеспособность участника.</w:t>
      </w:r>
    </w:p>
    <w:p>
      <w:pPr>
        <w:spacing w:after="60"/>
        <w:ind w:firstLine="567"/>
        <w:jc w:val="both"/>
      </w:pPr>
      <w:r>
        <w:rPr>
          <w:rFonts w:ascii="Arial" w:cs="Arial" w:eastAsia="Arial" w:hAnsi="Arial"/>
          <w:sz w:val="24"/>
          <w:szCs w:val="24"/>
        </w:rPr>
        <w:t xml:space="preserve">9. Кредитный договор на государственном или официальном языке, приложения к нему, а также дополнительно заключенные с участником соглашения при реструктуризации или пролонгации, уступке прав требований.</w:t>
      </w:r>
    </w:p>
    <w:p>
      <w:pPr>
        <w:spacing w:after="60"/>
        <w:ind w:firstLine="567"/>
        <w:jc w:val="both"/>
      </w:pPr>
      <w:r>
        <w:rPr>
          <w:rFonts w:ascii="Arial" w:cs="Arial" w:eastAsia="Arial" w:hAnsi="Arial"/>
          <w:sz w:val="24"/>
          <w:szCs w:val="24"/>
        </w:rPr>
        <w:t xml:space="preserve">10. Решение соответствующего органа КС о выдаче кредита, а также его пролонгации или реструктуризации (при наличии).</w:t>
      </w:r>
    </w:p>
    <w:p>
      <w:pPr>
        <w:spacing w:after="60"/>
        <w:ind w:firstLine="567"/>
        <w:jc w:val="both"/>
      </w:pPr>
      <w:r>
        <w:rPr>
          <w:rFonts w:ascii="Arial" w:cs="Arial" w:eastAsia="Arial" w:hAnsi="Arial"/>
          <w:i/>
          <w:iCs/>
          <w:sz w:val="24"/>
          <w:szCs w:val="24"/>
        </w:rPr>
        <w:t xml:space="preserve">11.(Утратил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12.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13. Юридическая документация (копии документов заемщика по его деятельности, например, накладные, счет-фактуры, договора с партнерами и т.п.).</w:t>
      </w:r>
    </w:p>
    <w:p>
      <w:pPr>
        <w:spacing w:after="60"/>
        <w:ind w:firstLine="567"/>
        <w:jc w:val="both"/>
      </w:pPr>
      <w:r>
        <w:rPr>
          <w:rFonts w:ascii="Arial" w:cs="Arial" w:eastAsia="Arial" w:hAnsi="Arial"/>
          <w:sz w:val="24"/>
          <w:szCs w:val="24"/>
        </w:rPr>
        <w:t xml:space="preserve">14. Отчет о проверке целевого использования кредита.</w:t>
      </w:r>
    </w:p>
    <w:p>
      <w:pPr>
        <w:spacing w:after="60"/>
        <w:ind w:firstLine="567"/>
        <w:jc w:val="both"/>
      </w:pPr>
      <w:r>
        <w:rPr>
          <w:rFonts w:ascii="Arial" w:cs="Arial" w:eastAsia="Arial" w:hAnsi="Arial"/>
          <w:sz w:val="24"/>
          <w:szCs w:val="24"/>
        </w:rPr>
        <w:t xml:space="preserve">15. Анкета клиента, составленная по типовой форме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 Договор о залоге.</w:t>
      </w:r>
    </w:p>
    <w:p>
      <w:pPr>
        <w:spacing w:after="60"/>
        <w:ind w:firstLine="567"/>
        <w:jc w:val="both"/>
      </w:pPr>
      <w:r>
        <w:rPr>
          <w:rFonts w:ascii="Arial" w:cs="Arial" w:eastAsia="Arial" w:hAnsi="Arial"/>
          <w:sz w:val="24"/>
          <w:szCs w:val="24"/>
        </w:rPr>
        <w:t xml:space="preserve">2. Сертификаты, свидетельства и другие квалификационные документы по залоговому имуществу.</w:t>
      </w:r>
    </w:p>
    <w:p>
      <w:pPr>
        <w:spacing w:after="60"/>
        <w:ind w:firstLine="567"/>
        <w:jc w:val="both"/>
      </w:pPr>
      <w:r>
        <w:rPr>
          <w:rFonts w:ascii="Arial" w:cs="Arial" w:eastAsia="Arial" w:hAnsi="Arial"/>
          <w:sz w:val="24"/>
          <w:szCs w:val="24"/>
        </w:rPr>
        <w:t xml:space="preserve">3. Документы, подтверждающие право собственности на заложенное имущество.</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5.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оценочная стоимость залога;</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6. Документы, подтверждающие регистрацию договора залога в уполномоченном государственном органе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соответствующего органа заемщика о предоставлении залога (если заемщик - юридическое лицо).</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1. Письменная гарантия или поручительство с указанием соответствующего кредитного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2. Решение соответствующего органа гаранта о выдаче гарантии (если гарант - юридическое лицо).</w:t>
      </w:r>
    </w:p>
    <w:p>
      <w:pPr>
        <w:spacing w:after="60"/>
        <w:ind w:firstLine="567"/>
        <w:jc w:val="both"/>
      </w:pPr>
      <w:r>
        <w:rPr>
          <w:rFonts w:ascii="Arial" w:cs="Arial" w:eastAsia="Arial" w:hAnsi="Arial"/>
          <w:sz w:val="24"/>
          <w:szCs w:val="24"/>
        </w:rPr>
        <w:t xml:space="preserve">3. Копии учредительных документов гаранта (если гарант - юридическое лицо).</w:t>
      </w:r>
    </w:p>
    <w:p>
      <w:pPr>
        <w:spacing w:after="60"/>
        <w:ind w:firstLine="567"/>
        <w:jc w:val="both"/>
      </w:pPr>
      <w:r>
        <w:rPr>
          <w:rFonts w:ascii="Arial" w:cs="Arial" w:eastAsia="Arial" w:hAnsi="Arial"/>
          <w:sz w:val="24"/>
          <w:szCs w:val="24"/>
        </w:rPr>
        <w:t xml:space="preserve">4. Справка о заработной плате за последние 12 месяцев,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расходов (платежей) участников кредитного союза и штрафных санкций</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3lkf7f0atd5aiuwmbjnaq">
        <w:r>
          <w:rPr>
            <w:rFonts w:ascii="Arial" w:cs="Arial" w:eastAsia="Arial" w:hAnsi="Arial"/>
            <w:i/>
            <w:iCs/>
            <w:color w:val="1D4ED8"/>
            <w:sz w:val="24"/>
            <w:szCs w:val="24"/>
            <w:u w:val="single"/>
          </w:rPr>
          <w:t xml:space="preserve">16 сентября 2015 года № 53/9</w:t>
        </w:r>
      </w:hyperlink>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Права участника кредитного союза</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i/>
                <w:iCs/>
                <w:sz w:val="24"/>
                <w:szCs w:val="24"/>
              </w:rPr>
              <w:t xml:space="preserve">(Раздел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Расходы (платежи) участника кредитного союза по кредиту</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Указывается в кредитном договоре</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рассмотрение заявки (оформление кредита)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выдачу и администрирование кредита</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none" w:color="auto" w:sz="0"/>
              <w:right w:val="none" w:color="auto" w:sz="0"/>
            </w:tcBorders>
          </w:tcP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и др.)</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Плата за предоставление выписок со счетов заемщика</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действующими тарифами кредитного союза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none" w:color="auto" w:sz="0"/>
              <w:right w:val="none" w:color="auto" w:sz="0"/>
            </w:tcBorders>
          </w:tcP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Штрафные санкции и пени кредитного союза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w:t>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c8hzkmtxhcrvh3bm6gf">
      <w:r>
        <w:rPr>
          <w:rFonts w:ascii="Arial" w:cs="Arial" w:eastAsia="Arial" w:hAnsi="Arial"/>
          <w:color w:val="132D3F"/>
          <w:sz w:val="16"/>
          <w:szCs w:val="16"/>
          <w:u w:val="single"/>
        </w:rPr>
        <w:t xml:space="preserve">dalil.kg/document/302284</w:t>
      </w:r>
    </w:hyperlink>
  </w:p>
  <w:p>
    <w:pPr>
      <w:spacing w:after="0" w:before="40"/>
      <w:jc w:val="center"/>
    </w:pPr>
    <w:hyperlink w:history="1" r:id="rIdpcusjzt878f_nwctz8h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5rtahvvfjog3msbar-i1" Type="http://schemas.openxmlformats.org/officeDocument/2006/relationships/hyperlink" Target="https://dalil.kg/document/301265" TargetMode="External"/><Relationship Id="rId03oggb6ef0xsitbcsqglv" Type="http://schemas.openxmlformats.org/officeDocument/2006/relationships/hyperlink" Target="https://dalil.kg/document/302560" TargetMode="External"/><Relationship Id="rIdgqv3gmzlfnz4hayjavorm" Type="http://schemas.openxmlformats.org/officeDocument/2006/relationships/hyperlink" Target="https://dalil.kg/document/60874" TargetMode="External"/><Relationship Id="rIdwhbapmulxbklnpsjiejrh" Type="http://schemas.openxmlformats.org/officeDocument/2006/relationships/hyperlink" Target="https://dalil.kg/document/302942" TargetMode="External"/><Relationship Id="rId1qoi6x-qwwdx4cki45lx1" Type="http://schemas.openxmlformats.org/officeDocument/2006/relationships/hyperlink" Target="https://dalil.kg/document/303027" TargetMode="External"/><Relationship Id="rIdpz8cyrotxg97h2molgua1" Type="http://schemas.openxmlformats.org/officeDocument/2006/relationships/hyperlink" Target="https://dalil.kg/document/800212" TargetMode="External"/><Relationship Id="rIdefclkvrt29jmbq-0p78wb" Type="http://schemas.openxmlformats.org/officeDocument/2006/relationships/hyperlink" Target="https://dalil.kg/document/800245" TargetMode="External"/><Relationship Id="rIdtfa8djzyygjumlmhoqf5c" Type="http://schemas.openxmlformats.org/officeDocument/2006/relationships/hyperlink" Target="https://dalil.kg/document/303027" TargetMode="External"/><Relationship Id="rIdrlwuifq5qeua78pxtbc_f" Type="http://schemas.openxmlformats.org/officeDocument/2006/relationships/hyperlink" Target="https://dalil.kg/document/60874" TargetMode="External"/><Relationship Id="rIdagizpbm1nm6ut6svh_fnr" Type="http://schemas.openxmlformats.org/officeDocument/2006/relationships/hyperlink" Target="https://dalil.kg/document/303027" TargetMode="External"/><Relationship Id="rIdedfvrzacnvekbthstzryw" Type="http://schemas.openxmlformats.org/officeDocument/2006/relationships/hyperlink" Target="https://dalil.kg/document/303027" TargetMode="External"/><Relationship Id="rIdrsvemj2ozjel0mpzpvezw" Type="http://schemas.openxmlformats.org/officeDocument/2006/relationships/hyperlink" Target="https://dalil.kg/document/303027" TargetMode="External"/><Relationship Id="rIdefms2rmha6tgidxa73feh" Type="http://schemas.openxmlformats.org/officeDocument/2006/relationships/hyperlink" Target="https://dalil.kg/document/303027" TargetMode="External"/><Relationship Id="rId2hdgxlosd4mc4mlykdvyh" Type="http://schemas.openxmlformats.org/officeDocument/2006/relationships/hyperlink" Target="https://dalil.kg/document/303027" TargetMode="External"/><Relationship Id="rIdu7zwxkd0nsj3t6gxb_pj7" Type="http://schemas.openxmlformats.org/officeDocument/2006/relationships/hyperlink" Target="https://dalil.kg/document/800212" TargetMode="External"/><Relationship Id="rIdq3tlxkwrmdilg2mwuzlp_" Type="http://schemas.openxmlformats.org/officeDocument/2006/relationships/hyperlink" Target="https://dalil.kg/document/303027" TargetMode="External"/><Relationship Id="rIdavndolzouowcvomdxzjn-" Type="http://schemas.openxmlformats.org/officeDocument/2006/relationships/hyperlink" Target="https://dalil.kg/document/303027" TargetMode="External"/><Relationship Id="rIdkoj63yrqlgfuwgivzkzam" Type="http://schemas.openxmlformats.org/officeDocument/2006/relationships/hyperlink" Target="https://dalil.kg/document/303027" TargetMode="External"/><Relationship Id="rIdnoauw2dsbmx2csnbfgrxp" Type="http://schemas.openxmlformats.org/officeDocument/2006/relationships/hyperlink" Target="https://dalil.kg/document/303027" TargetMode="External"/><Relationship Id="rIdg8kcq6vaqekwvnqcmr5ge" Type="http://schemas.openxmlformats.org/officeDocument/2006/relationships/hyperlink" Target="https://dalil.kg/document/303027" TargetMode="External"/><Relationship Id="rIdctokvpiys2422_avbgjvb" Type="http://schemas.openxmlformats.org/officeDocument/2006/relationships/hyperlink" Target="https://dalil.kg/document/303027" TargetMode="External"/><Relationship Id="rIdfumibdwnneedcjbwvaetd" Type="http://schemas.openxmlformats.org/officeDocument/2006/relationships/hyperlink" Target="https://dalil.kg/document/303027" TargetMode="External"/><Relationship Id="rIdfv0w6jqo85d5-vk-lsjmr" Type="http://schemas.openxmlformats.org/officeDocument/2006/relationships/hyperlink" Target="https://dalil.kg/document/303027" TargetMode="External"/><Relationship Id="rIdqj6mgpao7xwgsealbwcws" Type="http://schemas.openxmlformats.org/officeDocument/2006/relationships/hyperlink" Target="https://dalil.kg/document/302284#p2" TargetMode="External"/><Relationship Id="rIdqpbywdxuds22eg8zxlw9a" Type="http://schemas.openxmlformats.org/officeDocument/2006/relationships/hyperlink" Target="https://dalil.kg/document/303027" TargetMode="External"/><Relationship Id="rId5yuoxlwhzfnpaybdc0ama" Type="http://schemas.openxmlformats.org/officeDocument/2006/relationships/hyperlink" Target="https://dalil.kg/document/800245" TargetMode="External"/><Relationship Id="rIduz421zy4eervtwyi3hrqb" Type="http://schemas.openxmlformats.org/officeDocument/2006/relationships/hyperlink" Target="https://dalil.kg/document/303027" TargetMode="External"/><Relationship Id="rIdd8iiap_kqzeihzyhxedwh" Type="http://schemas.openxmlformats.org/officeDocument/2006/relationships/hyperlink" Target="https://dalil.kg/document/302284#p1" TargetMode="External"/><Relationship Id="rIdr1zig6efggfw3tiy0bz1i" Type="http://schemas.openxmlformats.org/officeDocument/2006/relationships/hyperlink" Target="https://dalil.kg/document/303027" TargetMode="External"/><Relationship Id="rIddiwm8hjhu8f1gjgjxrepv" Type="http://schemas.openxmlformats.org/officeDocument/2006/relationships/hyperlink" Target="https://dalil.kg/document/303027" TargetMode="External"/><Relationship Id="rIdql04js82xuuh_uzxzlhrh" Type="http://schemas.openxmlformats.org/officeDocument/2006/relationships/hyperlink" Target="https://dalil.kg/document/800245" TargetMode="External"/><Relationship Id="rIdio4-n3j9ueclpnqrmoqkx" Type="http://schemas.openxmlformats.org/officeDocument/2006/relationships/hyperlink" Target="https://dalil.kg/document/302284#p1" TargetMode="External"/><Relationship Id="rIdtyqw1xdqdywqrzxkhg152" Type="http://schemas.openxmlformats.org/officeDocument/2006/relationships/hyperlink" Target="https://dalil.kg/document/303027" TargetMode="External"/><Relationship Id="rIdssdddxfuijghj2mdzvqub" Type="http://schemas.openxmlformats.org/officeDocument/2006/relationships/hyperlink" Target="https://dalil.kg/document/303027" TargetMode="External"/><Relationship Id="rIdgng0njyeekesbmbwtfywc" Type="http://schemas.openxmlformats.org/officeDocument/2006/relationships/hyperlink" Target="https://dalil.kg/document/800245" TargetMode="External"/><Relationship Id="rIdps2nyvwrtwmvc_qpvg69x" Type="http://schemas.openxmlformats.org/officeDocument/2006/relationships/hyperlink" Target="https://dalil.kg/document/303027" TargetMode="External"/><Relationship Id="rIdsbkybfcjlziu37vau7hxp" Type="http://schemas.openxmlformats.org/officeDocument/2006/relationships/hyperlink" Target="https://dalil.kg/document/800212" TargetMode="External"/><Relationship Id="rId4cvjf_v6xao5zty7nm7jp" Type="http://schemas.openxmlformats.org/officeDocument/2006/relationships/hyperlink" Target="https://dalil.kg/document/800245" TargetMode="External"/><Relationship Id="rId3lkf7f0atd5aiuwmbjnaq" Type="http://schemas.openxmlformats.org/officeDocument/2006/relationships/hyperlink" Target="https://dalil.kg/document/303027"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c8hzkmtxhcrvh3bm6gf" Type="http://schemas.openxmlformats.org/officeDocument/2006/relationships/hyperlink" Target="https://dalil.kg/document/302284" TargetMode="External"/><Relationship Id="rIdpcusjzt878f_nwctz8h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2026-09-25T03:13:09.029Z</dcterms:created>
  <dcterms:modified xsi:type="dcterms:W3CDTF">2026-09-25T03:13:09.029Z</dcterms:modified>
</cp:coreProperties>
</file>

<file path=docProps/custom.xml><?xml version="1.0" encoding="utf-8"?>
<Properties xmlns="http://schemas.openxmlformats.org/officeDocument/2006/custom-properties" xmlns:vt="http://schemas.openxmlformats.org/officeDocument/2006/docPropsVTypes"/>
</file>