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Национального банка Кыргызской Республики
 от 28 декабря 2009 года N 51/4</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tn_axxdkaoxvlqvtlht-l">
        <w:r>
          <w:rPr>
            <w:rFonts w:ascii="Arial" w:cs="Arial" w:eastAsia="Arial" w:hAnsi="Arial"/>
            <w:i/>
            <w:iCs/>
            <w:color w:val="1D4ED8"/>
            <w:sz w:val="24"/>
            <w:szCs w:val="24"/>
            <w:u w:val="single"/>
          </w:rPr>
          <w:t xml:space="preserve">30 ноября 2011 года N 67/8</w:t>
        </w:r>
      </w:hyperlink>
      <w:r>
        <w:rPr>
          <w:rFonts w:ascii="Arial" w:cs="Arial" w:eastAsia="Arial" w:hAnsi="Arial"/>
          <w:i/>
          <w:iCs/>
          <w:sz w:val="24"/>
          <w:szCs w:val="24"/>
        </w:rPr>
        <w:t xml:space="preserve">, </w:t>
      </w:r>
      <w:hyperlink w:history="1" r:id="rIdl8_-afy-yne5kuah5irqb">
        <w:r>
          <w:rPr>
            <w:rFonts w:ascii="Arial" w:cs="Arial" w:eastAsia="Arial" w:hAnsi="Arial"/>
            <w:i/>
            <w:iCs/>
            <w:color w:val="1D4ED8"/>
            <w:sz w:val="24"/>
            <w:szCs w:val="24"/>
            <w:u w:val="single"/>
          </w:rPr>
          <w:t xml:space="preserve">25 апреля 2012 года N 18/9</w:t>
        </w:r>
      </w:hyperlink>
      <w:r>
        <w:rPr>
          <w:rFonts w:ascii="Arial" w:cs="Arial" w:eastAsia="Arial" w:hAnsi="Arial"/>
          <w:i/>
          <w:iCs/>
          <w:sz w:val="24"/>
          <w:szCs w:val="24"/>
        </w:rPr>
        <w:t xml:space="preserve">, </w:t>
      </w:r>
      <w:r>
        <w:rPr>
          <w:rFonts w:ascii="Arial" w:cs="Arial" w:eastAsia="Arial" w:hAnsi="Arial"/>
          <w:i/>
          <w:iCs/>
          <w:sz w:val="24"/>
          <w:szCs w:val="24"/>
        </w:rPr>
        <w:t xml:space="preserve">1</w:t>
      </w:r>
      <w:hyperlink w:history="1" r:id="rIdwrz4tt158ilgfoc588ias">
        <w:r>
          <w:rPr>
            <w:rFonts w:ascii="Arial" w:cs="Arial" w:eastAsia="Arial" w:hAnsi="Arial"/>
            <w:i/>
            <w:iCs/>
            <w:color w:val="1D4ED8"/>
            <w:sz w:val="24"/>
            <w:szCs w:val="24"/>
            <w:u w:val="single"/>
          </w:rPr>
          <w:t xml:space="preserve">6 июля 2014 года № 32/6</w:t>
        </w:r>
      </w:hyperlink>
      <w:r>
        <w:rPr>
          <w:rFonts w:ascii="Arial" w:cs="Arial" w:eastAsia="Arial" w:hAnsi="Arial"/>
          <w:i/>
          <w:iCs/>
          <w:sz w:val="24"/>
          <w:szCs w:val="24"/>
        </w:rPr>
        <w:t xml:space="preserve">, </w:t>
      </w:r>
      <w:hyperlink w:history="1" r:id="rIdc1demvxzo6prksf6cg-ya">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 </w:t>
      </w:r>
      <w:hyperlink w:history="1" r:id="rIdulbhcedeojmqkfolxkpkr">
        <w:r>
          <w:rPr>
            <w:rFonts w:ascii="Arial" w:cs="Arial" w:eastAsia="Arial" w:hAnsi="Arial"/>
            <w:i/>
            <w:iCs/>
            <w:color w:val="1D4ED8"/>
            <w:sz w:val="24"/>
            <w:szCs w:val="24"/>
            <w:u w:val="single"/>
          </w:rPr>
          <w:t xml:space="preserve">27 апреля 2016 года № 19/6</w:t>
        </w:r>
      </w:hyperlink>
      <w:r>
        <w:rPr>
          <w:rFonts w:ascii="Arial" w:cs="Arial" w:eastAsia="Arial" w:hAnsi="Arial"/>
          <w:i/>
          <w:iCs/>
          <w:sz w:val="24"/>
          <w:szCs w:val="24"/>
        </w:rPr>
        <w:t xml:space="preserve">, </w:t>
      </w:r>
      <w:hyperlink w:history="1" r:id="rIdazjduqh-x8nqr7i7dnokm">
        <w:r>
          <w:rPr>
            <w:rFonts w:ascii="Arial" w:cs="Arial" w:eastAsia="Arial" w:hAnsi="Arial"/>
            <w:i/>
            <w:iCs/>
            <w:color w:val="1D4ED8"/>
            <w:sz w:val="24"/>
            <w:szCs w:val="24"/>
            <w:u w:val="single"/>
          </w:rPr>
          <w:t xml:space="preserve">26 апреля 2017 года № 17/13</w:t>
        </w:r>
      </w:hyperlink>
      <w:r>
        <w:rPr>
          <w:rFonts w:ascii="Arial" w:cs="Arial" w:eastAsia="Arial" w:hAnsi="Arial"/>
          <w:i/>
          <w:iCs/>
          <w:sz w:val="24"/>
          <w:szCs w:val="24"/>
        </w:rPr>
        <w:t xml:space="preserve">, </w:t>
      </w:r>
      <w:hyperlink w:history="1" r:id="rIdnsx3uyzr5omjslqp1chqv">
        <w:r>
          <w:rPr>
            <w:rFonts w:ascii="Arial" w:cs="Arial" w:eastAsia="Arial" w:hAnsi="Arial"/>
            <w:i/>
            <w:iCs/>
            <w:color w:val="1D4ED8"/>
            <w:sz w:val="24"/>
            <w:szCs w:val="24"/>
            <w:u w:val="single"/>
          </w:rPr>
          <w:t xml:space="preserve">31 мая 2017 года № 21/11,</w:t>
        </w:r>
      </w:hyperlink>
      <w:hyperlink w:history="1" r:id="rIdbmbrohj8b7ykwfu5t6hkt">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hywqirmo7uswemusindk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Правления Нацбанка КР от 16 июня 2010 года N 49/3 "О требованиях по соблюдению стандартов адекватности капитала ОАО "ЭкоБанк"</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51oxlwarah7tqfqfhtu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21/11)</w:t>
      </w:r>
    </w:p>
    <w:p>
      <w:pPr>
        <w:spacing w:after="60"/>
        <w:ind w:firstLine="567"/>
        <w:jc w:val="both"/>
      </w:pPr>
      <w:r>
        <w:rPr>
          <w:rFonts w:ascii="Arial" w:cs="Arial" w:eastAsia="Arial" w:hAnsi="Arial"/>
          <w:sz w:val="24"/>
          <w:szCs w:val="24"/>
        </w:rPr>
        <w:t xml:space="preserve">2. Целью данной Инструкции является установление стандартов достаточности (адекватности) капитала исламского банка, а также особенностей расчета коэффициентов достаточности (адекватности) капитала банка, имеющего "исламское окно".</w:t>
      </w:r>
    </w:p>
    <w:p>
      <w:pPr>
        <w:spacing w:after="60"/>
        <w:ind w:firstLine="567"/>
        <w:jc w:val="both"/>
      </w:pPr>
      <w:r>
        <w:rPr>
          <w:rFonts w:ascii="Arial" w:cs="Arial" w:eastAsia="Arial" w:hAnsi="Arial"/>
          <w:sz w:val="24"/>
          <w:szCs w:val="24"/>
        </w:rPr>
        <w:t xml:space="preserve">3. Капитал банка является обеспечением прибыльного и устойчивого роста, гарантом доверия клиентов к банку и служит основой для покрытия потенциальных потерь, присущих банковскому делу.</w:t>
      </w:r>
    </w:p>
    <w:p>
      <w:pPr>
        <w:spacing w:after="60"/>
        <w:ind w:firstLine="567"/>
        <w:jc w:val="both"/>
      </w:pPr>
      <w:r>
        <w:rPr>
          <w:rFonts w:ascii="Arial" w:cs="Arial" w:eastAsia="Arial" w:hAnsi="Arial"/>
          <w:sz w:val="24"/>
          <w:szCs w:val="24"/>
        </w:rPr>
        <w:t xml:space="preserve">4. Капитал является средством, предохраняющим от последствий чрезмерных рисковых ситуаций и финансовой несостоятельности (неплатежеспособности) банка. Банку необходимо располагать достаточным (адекватным) капиталом, способным покрывать возможные убытки и потери без угрозы наступления состояния неплатежеспособности. Величина капитала должна быть адекватной увеличивающемуся объему банковских операций, осуществляемых в соответствии с исламскими принципами банковского дела и финансирования, сопряженных с высокой степенью риска.</w:t>
      </w:r>
    </w:p>
    <w:p>
      <w:pPr>
        <w:spacing w:after="200" w:before="200"/>
        <w:jc w:val="center"/>
      </w:pPr>
      <w:r>
        <w:rPr>
          <w:rFonts w:ascii="Arial" w:cs="Arial" w:eastAsia="Arial" w:hAnsi="Arial"/>
          <w:b/>
          <w:bCs/>
          <w:sz w:val="24"/>
          <w:szCs w:val="24"/>
        </w:rPr>
        <w:t xml:space="preserve">2. Стандарты достаточности (адекватности) капитала исламских банков</w:t>
      </w:r>
    </w:p>
    <w:p>
      <w:pPr>
        <w:spacing w:after="60"/>
        <w:ind w:firstLine="567"/>
        <w:jc w:val="both"/>
      </w:pPr>
      <w:r>
        <w:rPr>
          <w:rFonts w:ascii="Arial" w:cs="Arial" w:eastAsia="Arial" w:hAnsi="Arial"/>
          <w:sz w:val="24"/>
          <w:szCs w:val="24"/>
        </w:rPr>
        <w:t xml:space="preserve">5. Минимальный размер капитала:</w:t>
      </w:r>
    </w:p>
    <w:p>
      <w:pPr>
        <w:spacing w:after="60"/>
        <w:ind w:firstLine="567"/>
        <w:jc w:val="both"/>
      </w:pPr>
      <w:r>
        <w:rPr>
          <w:rFonts w:ascii="Arial" w:cs="Arial" w:eastAsia="Arial" w:hAnsi="Arial"/>
          <w:sz w:val="24"/>
          <w:szCs w:val="24"/>
        </w:rPr>
        <w:t xml:space="preserve">а) Минимальный размер уставного капитала для вновь открываемых в Кыргызской Республике исламских банков (включая филиалы иностранных банков);</w:t>
      </w:r>
    </w:p>
    <w:p>
      <w:pPr>
        <w:spacing w:after="60"/>
        <w:ind w:firstLine="567"/>
        <w:jc w:val="both"/>
      </w:pPr>
      <w:r>
        <w:rPr>
          <w:rFonts w:ascii="Arial" w:cs="Arial" w:eastAsia="Arial" w:hAnsi="Arial"/>
          <w:sz w:val="24"/>
          <w:szCs w:val="24"/>
        </w:rPr>
        <w:t xml:space="preserve">б) Минимальный размер капитала собственного (регулятивного) капитала (собственных средств). Размер собственных средств определяется как результат вычитания из чистого капитала Первого уровня перекрестных инвестиций в капитал. Чистый капитал Первого уровня определяется согласно подпункту а) п.18 настоящей Инструкции. Перекрестные инвестиции в капитал - это взаимное участие банков и небанковских организаций в капитале друг друга (в виде акций или долевого участия в капитале).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813li1mw5blx1bwtt93p">
        <w:r>
          <w:rPr>
            <w:rFonts w:ascii="Arial" w:cs="Arial" w:eastAsia="Arial" w:hAnsi="Arial"/>
            <w:i/>
            <w:iCs/>
            <w:color w:val="1D4ED8"/>
            <w:sz w:val="24"/>
            <w:szCs w:val="24"/>
            <w:u w:val="single"/>
          </w:rPr>
          <w:t xml:space="preserve">31 мая 2017 года № 21/11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Коэффициенты достаточности (адекватности) капитала</w:t>
      </w:r>
      <w:r>
        <w:rPr>
          <w:rFonts w:ascii="Arial" w:cs="Arial" w:eastAsia="Arial" w:hAnsi="Arial"/>
          <w:sz w:val="24"/>
          <w:szCs w:val="24"/>
        </w:rPr>
        <w:t xml:space="preserve">исламского банка, основанные на взвешивании по степени риска балансовых активов, размещенных в соответствии с исламскими принципами банковского дела и финансирования (далее по тексту - активы) и забалансовых обязательств, принятых банком в соответствии с исламскими принципами банковского дела и финансирования (далее по тексту - забалансовые обязательства):</w:t>
      </w:r>
    </w:p>
    <w:p>
      <w:pPr>
        <w:spacing w:after="60"/>
        <w:ind w:firstLine="567"/>
        <w:jc w:val="both"/>
      </w:pPr>
      <w:r>
        <w:rPr>
          <w:rFonts w:ascii="Arial" w:cs="Arial" w:eastAsia="Arial" w:hAnsi="Arial"/>
          <w:sz w:val="24"/>
          <w:szCs w:val="24"/>
        </w:rPr>
        <w:t xml:space="preserve">а) Коэффициент адекватности суммарного капитала (К2.1 исламского банка) должен быть не менее 12%. Он определяется как отношение чистого Суммарного капитала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и общих резервов, не включенных в капитал Второго уровня (т.е. превышающих 1,25% от суммы балансовых активов и забалансовых обязательств, взвешенных по степени риска), за минусом активов, взвешенных по риску, финансируемых за счет средств, привлеченных по договору ограниченная мудараба. Чистый Суммарный капитал определяется согласно подпункту б) п.18 настоящей Инструкции. Капитал Второго уровня определяется согласно п.16 настоящей Инструкции;</w:t>
      </w:r>
    </w:p>
    <w:p>
      <w:pPr>
        <w:spacing w:after="60"/>
        <w:ind w:firstLine="567"/>
        <w:jc w:val="both"/>
      </w:pPr>
      <w:r>
        <w:rPr>
          <w:rFonts w:ascii="Arial" w:cs="Arial" w:eastAsia="Arial" w:hAnsi="Arial"/>
          <w:sz w:val="24"/>
          <w:szCs w:val="24"/>
        </w:rPr>
        <w:t xml:space="preserve">б) Коэффициент достаточности (адекватности) капитала</w:t>
      </w:r>
      <w:r>
        <w:rPr>
          <w:rFonts w:ascii="Arial" w:cs="Arial" w:eastAsia="Arial" w:hAnsi="Arial"/>
          <w:sz w:val="24"/>
          <w:szCs w:val="24"/>
        </w:rPr>
        <w:t xml:space="preserve">Первого уровня (К2.2 исламского банка) должен быть не менее 6%. Он определяется как отношение чистого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и общих резервов, не включенных в капитал Второго уровня (т.е. превышающих 1,25% от суммы балансовых активов и забалансовых обязательств, взвешенных по степени риска), за минусом активов, взвешенных по риску, финансируемых за счет средств, привлеченных по договору ограниченная мудараба.</w:t>
      </w:r>
    </w:p>
    <w:p>
      <w:pPr>
        <w:spacing w:after="60"/>
        <w:ind w:firstLine="567"/>
        <w:jc w:val="both"/>
      </w:pPr>
      <w:r>
        <w:rPr>
          <w:rFonts w:ascii="Arial" w:cs="Arial" w:eastAsia="Arial" w:hAnsi="Arial"/>
          <w:sz w:val="24"/>
          <w:szCs w:val="24"/>
        </w:rPr>
        <w:t xml:space="preserve">7. Коэффициент достаточности (адекватности) капитала банка, имеющего "исламское окно" рассчитывается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w:t>
      </w:r>
      <w:r>
        <w:rPr>
          <w:rFonts w:ascii="Arial" w:cs="Arial" w:eastAsia="Arial" w:hAnsi="Arial"/>
          <w:sz w:val="24"/>
          <w:szCs w:val="24"/>
        </w:rPr>
        <w:t xml:space="preserve">(1)</w:t>
      </w:r>
      <w:r>
        <w:rPr>
          <w:rFonts w:ascii="Arial" w:cs="Arial" w:eastAsia="Arial" w:hAnsi="Arial"/>
          <w:sz w:val="24"/>
          <w:szCs w:val="24"/>
        </w:rPr>
        <w:t xml:space="preserve"> (далее - </w:t>
      </w:r>
      <w:r>
        <w:rPr>
          <w:rFonts w:ascii="Arial" w:cs="Arial" w:eastAsia="Arial" w:hAnsi="Arial"/>
          <w:sz w:val="24"/>
          <w:szCs w:val="24"/>
        </w:rPr>
        <w:t xml:space="preserve">Инструкция</w:t>
      </w:r>
      <w:r>
        <w:rPr>
          <w:rFonts w:ascii="Arial" w:cs="Arial" w:eastAsia="Arial" w:hAnsi="Arial"/>
          <w:sz w:val="24"/>
          <w:szCs w:val="24"/>
        </w:rPr>
        <w:t xml:space="preserve"> для коммерческих банков) с обязательным включением в расчет коэффициента достаточности (адекватности) капитала</w:t>
      </w:r>
      <w:r>
        <w:rPr>
          <w:rFonts w:ascii="Arial" w:cs="Arial" w:eastAsia="Arial" w:hAnsi="Arial"/>
          <w:sz w:val="24"/>
          <w:szCs w:val="24"/>
        </w:rPr>
        <w:t xml:space="preserve">активов, размещенных в соответствии с исламскими принципами банковского дела и финансирования и взвешенных по степени риска.</w:t>
      </w:r>
    </w:p>
    <w:p>
      <w:pPr>
        <w:spacing w:after="60"/>
        <w:ind w:firstLine="567"/>
        <w:jc w:val="both"/>
      </w:pPr>
      <w:r>
        <w:rPr>
          <w:rFonts w:ascii="Arial" w:cs="Arial" w:eastAsia="Arial" w:hAnsi="Arial"/>
          <w:sz w:val="24"/>
          <w:szCs w:val="24"/>
        </w:rPr>
        <w:t xml:space="preserve">8. При расчете коэффициентов достаточности (адекватности) капитала</w:t>
      </w:r>
      <w:r>
        <w:rPr>
          <w:rFonts w:ascii="Arial" w:cs="Arial" w:eastAsia="Arial" w:hAnsi="Arial"/>
          <w:sz w:val="24"/>
          <w:szCs w:val="24"/>
        </w:rPr>
        <w:t xml:space="preserve">банка, имеющего "исламское окно", его отдельные составные части включаются в расчет с учетом операций, осуществляемых в соответствии с исламскими принципами банковского дела и финансирования. Например, при расчете капитала Второго уровня должны включаться общие резервы на покрытие потенциальных потерь и убытков по активам, размещенным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9. Левераж (К2.3 исламского банка) должен быть не менее 8%. Левераж определяется как отношение чистого Суммарного капитала к суммарным активам (итоговому значению активов по балансовому отчету ПРБО за минусом нематериальных активов).</w:t>
      </w:r>
    </w:p>
    <w:p>
      <w:pPr>
        <w:spacing w:after="60"/>
        <w:ind w:firstLine="567"/>
        <w:jc w:val="both"/>
      </w:pPr>
      <w:r>
        <w:rPr>
          <w:rFonts w:ascii="Arial" w:cs="Arial" w:eastAsia="Arial" w:hAnsi="Arial"/>
          <w:sz w:val="24"/>
          <w:szCs w:val="24"/>
        </w:rPr>
        <w:t xml:space="preserve">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аналогично расчету коэффициента достаточности (адекватности) суммарного капитала. Значение индекса "буфер капитала" банков устанавливается Комитетом по надзору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w5iltzwqecmsleypsrij">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sz w:val="24"/>
          <w:szCs w:val="24"/>
        </w:rPr>
        <w:t xml:space="preserve">9-2. Банк не имеет право принимать решение о выплате дивидендов в случае, если индекс "буфер капитала", рассчитанный с учетом вычета суммы дивидендов, планируемой к выплате, будет составлять значение ниже установленного Национальным банком.</w:t>
      </w:r>
    </w:p>
    <w:p>
      <w:pPr>
        <w:spacing w:after="60"/>
        <w:ind w:firstLine="567"/>
        <w:jc w:val="both"/>
      </w:pPr>
      <w:r>
        <w:rPr>
          <w:rFonts w:ascii="Arial" w:cs="Arial" w:eastAsia="Arial" w:hAnsi="Arial"/>
          <w:sz w:val="24"/>
          <w:szCs w:val="24"/>
        </w:rPr>
        <w:t xml:space="preserve">После выплаты дивидендов индекс "буфер капитала" должен составлять значение не ниже установленного Национальным банком.</w:t>
      </w:r>
    </w:p>
    <w:p>
      <w:pPr>
        <w:spacing w:after="60"/>
        <w:ind w:firstLine="567"/>
        <w:jc w:val="both"/>
      </w:pPr>
      <w:r>
        <w:rPr>
          <w:rFonts w:ascii="Arial" w:cs="Arial" w:eastAsia="Arial" w:hAnsi="Arial"/>
          <w:sz w:val="24"/>
          <w:szCs w:val="24"/>
        </w:rPr>
        <w:t xml:space="preserve">В случае соблюдения значения индекса "буфер капитала", рассчитанного с учетом вычета суммы дивидендов, планируемой к выплате, банк должен получить разрешение Национального банка на выплату, за исключением случаев, когда за счет нераспределенной прибыли банк увеличивает свой уставной капитал.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w2yqiptyzkmfyastlwea">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i/>
          <w:iCs/>
          <w:sz w:val="24"/>
          <w:szCs w:val="24"/>
        </w:rPr>
        <w:t xml:space="preserve">9-3. (Утратил силу в соответствии с </w:t>
      </w:r>
      <w:hyperlink w:history="1" r:id="rIdokgnshgwdrp_umaosm3t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10 апреля 2019 года № 2019-П-12/19-3)</w:t>
      </w:r>
    </w:p>
    <w:p>
      <w:pPr>
        <w:spacing w:after="200" w:before="200"/>
        <w:jc w:val="center"/>
      </w:pPr>
      <w:r>
        <w:rPr>
          <w:rFonts w:ascii="Arial" w:cs="Arial" w:eastAsia="Arial" w:hAnsi="Arial"/>
          <w:b/>
          <w:bCs/>
          <w:sz w:val="24"/>
          <w:szCs w:val="24"/>
        </w:rPr>
        <w:t xml:space="preserve">3. Структура капитала</w:t>
      </w:r>
    </w:p>
    <w:p>
      <w:pPr>
        <w:spacing w:after="60"/>
        <w:ind w:firstLine="567"/>
        <w:jc w:val="both"/>
      </w:pPr>
      <w:r>
        <w:rPr>
          <w:rFonts w:ascii="Arial" w:cs="Arial" w:eastAsia="Arial" w:hAnsi="Arial"/>
          <w:sz w:val="24"/>
          <w:szCs w:val="24"/>
        </w:rPr>
        <w:t xml:space="preserve">10. Основу капитала составляет полностью оплаченный уставный капитал банка.</w:t>
      </w:r>
    </w:p>
    <w:p>
      <w:pPr>
        <w:spacing w:after="60"/>
        <w:ind w:firstLine="567"/>
        <w:jc w:val="both"/>
      </w:pPr>
      <w:r>
        <w:rPr>
          <w:rFonts w:ascii="Arial" w:cs="Arial" w:eastAsia="Arial" w:hAnsi="Arial"/>
          <w:sz w:val="24"/>
          <w:szCs w:val="24"/>
        </w:rPr>
        <w:t xml:space="preserve">11. В состав капитала входит только такой уставный капитал (простые и привилегированные акции), по которому нет обязательств по возврату средств, вложенных акционерами банка. Эти средства могут быть получены акционерами только путем передачи или продажи акций третьим лицам.</w:t>
      </w:r>
    </w:p>
    <w:p>
      <w:pPr>
        <w:spacing w:after="60"/>
        <w:ind w:firstLine="567"/>
        <w:jc w:val="both"/>
      </w:pPr>
      <w:r>
        <w:rPr>
          <w:rFonts w:ascii="Arial" w:cs="Arial" w:eastAsia="Arial" w:hAnsi="Arial"/>
          <w:sz w:val="24"/>
          <w:szCs w:val="24"/>
        </w:rPr>
        <w:t xml:space="preserve">12. Банк не имеет права принимать в залог собственные акции.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dn2cp-e6bwqatzj_z1bv">
        <w:r>
          <w:rPr>
            <w:rFonts w:ascii="Arial" w:cs="Arial" w:eastAsia="Arial" w:hAnsi="Arial"/>
            <w:i/>
            <w:iCs/>
            <w:color w:val="1D4ED8"/>
            <w:sz w:val="24"/>
            <w:szCs w:val="24"/>
            <w:u w:val="single"/>
          </w:rPr>
          <w:t xml:space="preserve">31 мая 2017 года № 21/11)</w:t>
        </w:r>
      </w:hyperlink>
    </w:p>
    <w:p>
      <w:pPr>
        <w:spacing w:after="60"/>
        <w:ind w:firstLine="567"/>
        <w:jc w:val="both"/>
      </w:pPr>
      <w:r>
        <w:rPr>
          <w:rFonts w:ascii="Arial" w:cs="Arial" w:eastAsia="Arial" w:hAnsi="Arial"/>
          <w:sz w:val="24"/>
          <w:szCs w:val="24"/>
        </w:rPr>
        <w:t xml:space="preserve">13. Для целей банковского надзора, при оценке достаточности (адекватности) капитала в состав капитала включаются некоторые "некапитальные" бухгалтерские счета (например, "Общий резерв на покрытие потенциальных потерь и убытков" или "Субординированные облигации и другие долговые обязательства").</w:t>
      </w:r>
    </w:p>
    <w:p>
      <w:pPr>
        <w:spacing w:after="60"/>
        <w:ind w:firstLine="567"/>
        <w:jc w:val="both"/>
      </w:pPr>
      <w:r>
        <w:rPr>
          <w:rFonts w:ascii="Arial" w:cs="Arial" w:eastAsia="Arial" w:hAnsi="Arial"/>
          <w:sz w:val="24"/>
          <w:szCs w:val="24"/>
        </w:rPr>
        <w:t xml:space="preserve">14. Для целей расчета коэффициентов достаточности (адекватности) капитала банковский капитал делится на капитал Первого уровня и капитал Второго уровня.</w:t>
      </w:r>
    </w:p>
    <w:p>
      <w:pPr>
        <w:spacing w:after="60"/>
        <w:ind w:firstLine="567"/>
        <w:jc w:val="both"/>
      </w:pPr>
      <w:r>
        <w:rPr>
          <w:rFonts w:ascii="Arial" w:cs="Arial" w:eastAsia="Arial" w:hAnsi="Arial"/>
          <w:sz w:val="24"/>
          <w:szCs w:val="24"/>
        </w:rPr>
        <w:t xml:space="preserve">15. Структура капитала Первого уровня определяется следующим образом:</w:t>
      </w:r>
    </w:p>
    <w:p>
      <w:pPr>
        <w:spacing w:after="60"/>
        <w:ind w:firstLine="567"/>
        <w:jc w:val="both"/>
      </w:pPr>
      <w:r>
        <w:rPr>
          <w:rFonts w:ascii="Arial" w:cs="Arial" w:eastAsia="Arial" w:hAnsi="Arial"/>
          <w:sz w:val="24"/>
          <w:szCs w:val="24"/>
        </w:rPr>
        <w:t xml:space="preserve">а) "простые акции" - выпущенные и полностью оплаченные простые акции банка, удовлетворяющие условиям, установленным законодательством;</w:t>
      </w:r>
    </w:p>
    <w:p>
      <w:pPr>
        <w:spacing w:after="60"/>
        <w:ind w:firstLine="567"/>
        <w:jc w:val="both"/>
      </w:pPr>
      <w:r>
        <w:rPr>
          <w:rFonts w:ascii="Arial" w:cs="Arial" w:eastAsia="Arial" w:hAnsi="Arial"/>
          <w:sz w:val="24"/>
          <w:szCs w:val="24"/>
        </w:rPr>
        <w:t xml:space="preserve">б) "капитал, внесенный сверх номинала" - разница между ценой продажи простых акций и их номинальной стоимостью при первичном размещении. Капитал, внесенный сверх номинала может быть использован для оплаты услуг, связанных с размещением, регистрацией и типографскими расходами на печать бланков при эмиссии акций банка.</w:t>
      </w:r>
    </w:p>
    <w:p>
      <w:pPr>
        <w:spacing w:after="60"/>
        <w:ind w:firstLine="567"/>
        <w:jc w:val="both"/>
      </w:pPr>
      <w:r>
        <w:rPr>
          <w:rFonts w:ascii="Arial" w:cs="Arial" w:eastAsia="Arial" w:hAnsi="Arial"/>
          <w:sz w:val="24"/>
          <w:szCs w:val="24"/>
        </w:rPr>
        <w:t xml:space="preserve">Капитал, внесенный сверх номинала, не подлежит распределению среди акционеров в виде дивидендов.</w:t>
      </w:r>
    </w:p>
    <w:p>
      <w:pPr>
        <w:spacing w:after="60"/>
        <w:ind w:firstLine="567"/>
        <w:jc w:val="both"/>
      </w:pPr>
      <w:r>
        <w:rPr>
          <w:rFonts w:ascii="Arial" w:cs="Arial" w:eastAsia="Arial" w:hAnsi="Arial"/>
          <w:sz w:val="24"/>
          <w:szCs w:val="24"/>
        </w:rPr>
        <w:t xml:space="preserve">По разрешению Национального банка, капитал, сверх номинала может быть направлен на увеличение уставного капитала банка в целях соблюдения требований по минимальному размеру уставного капитала.</w:t>
      </w:r>
    </w:p>
    <w:p>
      <w:pPr>
        <w:spacing w:after="60"/>
        <w:ind w:firstLine="567"/>
        <w:jc w:val="both"/>
      </w:pPr>
      <w:r>
        <w:rPr>
          <w:rFonts w:ascii="Arial" w:cs="Arial" w:eastAsia="Arial" w:hAnsi="Arial"/>
          <w:sz w:val="24"/>
          <w:szCs w:val="24"/>
        </w:rPr>
        <w:t xml:space="preserve">Банк вправе выкупать собственные акции только:</w:t>
      </w:r>
    </w:p>
    <w:p>
      <w:pPr>
        <w:spacing w:after="60"/>
        <w:ind w:firstLine="567"/>
        <w:jc w:val="both"/>
      </w:pPr>
      <w:r>
        <w:rPr>
          <w:rFonts w:ascii="Arial" w:cs="Arial" w:eastAsia="Arial" w:hAnsi="Arial"/>
          <w:sz w:val="24"/>
          <w:szCs w:val="24"/>
        </w:rPr>
        <w:t xml:space="preserve">- в целях последующей перепродажи выкупленных акций среди акционеров по более высокой цене при наличии предварительного договора между банком и действующими акционерами;</w:t>
      </w:r>
    </w:p>
    <w:p>
      <w:pPr>
        <w:spacing w:after="60"/>
        <w:ind w:firstLine="567"/>
        <w:jc w:val="both"/>
      </w:pPr>
      <w:r>
        <w:rPr>
          <w:rFonts w:ascii="Arial" w:cs="Arial" w:eastAsia="Arial" w:hAnsi="Arial"/>
          <w:sz w:val="24"/>
          <w:szCs w:val="24"/>
        </w:rPr>
        <w:t xml:space="preserve">- если за последние 5 (пять) лет до дня принятия решения о выкупе собственных акций деятельность банка была прибыльной;</w:t>
      </w:r>
    </w:p>
    <w:p>
      <w:pPr>
        <w:spacing w:after="60"/>
        <w:ind w:firstLine="567"/>
        <w:jc w:val="both"/>
      </w:pPr>
      <w:r>
        <w:rPr>
          <w:rFonts w:ascii="Arial" w:cs="Arial" w:eastAsia="Arial" w:hAnsi="Arial"/>
          <w:sz w:val="24"/>
          <w:szCs w:val="24"/>
        </w:rPr>
        <w:t xml:space="preserve">в) "резервы для будущих потребностей банка" - резервы, созданные из прибыли после налогообложения на будущие и/или непредвиденные события;</w:t>
      </w:r>
    </w:p>
    <w:p>
      <w:pPr>
        <w:spacing w:after="60"/>
        <w:ind w:firstLine="567"/>
        <w:jc w:val="both"/>
      </w:pPr>
      <w:r>
        <w:rPr>
          <w:rFonts w:ascii="Arial" w:cs="Arial" w:eastAsia="Arial" w:hAnsi="Arial"/>
          <w:sz w:val="24"/>
          <w:szCs w:val="24"/>
        </w:rPr>
        <w:t xml:space="preserve">г) "нераспределенная прибыль (убытки) прошлых лет" - остаток чистой прибыли (убытков) после налогообложения прошлых лет после вычета объявленных дивидендов и распределения на другие капитальные счета;</w:t>
      </w:r>
    </w:p>
    <w:p>
      <w:pPr>
        <w:spacing w:after="60"/>
        <w:ind w:firstLine="567"/>
        <w:jc w:val="both"/>
      </w:pPr>
      <w:r>
        <w:rPr>
          <w:rFonts w:ascii="Arial" w:cs="Arial" w:eastAsia="Arial" w:hAnsi="Arial"/>
          <w:sz w:val="24"/>
          <w:szCs w:val="24"/>
        </w:rPr>
        <w:t xml:space="preserve">д) (минус) "убытки текущего года" - убытки, полученные банком в текущем году.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ys4l0rg7mco4rnnn_buf">
        <w:r>
          <w:rPr>
            <w:rFonts w:ascii="Arial" w:cs="Arial" w:eastAsia="Arial" w:hAnsi="Arial"/>
            <w:i/>
            <w:iCs/>
            <w:color w:val="1D4ED8"/>
            <w:sz w:val="24"/>
            <w:szCs w:val="24"/>
            <w:u w:val="single"/>
          </w:rPr>
          <w:t xml:space="preserve">31 мая 2017 года № 21/11)</w:t>
        </w:r>
      </w:hyperlink>
    </w:p>
    <w:p>
      <w:pPr>
        <w:spacing w:after="60"/>
        <w:ind w:firstLine="567"/>
        <w:jc w:val="both"/>
      </w:pPr>
      <w:r>
        <w:rPr>
          <w:rFonts w:ascii="Arial" w:cs="Arial" w:eastAsia="Arial" w:hAnsi="Arial"/>
          <w:sz w:val="24"/>
          <w:szCs w:val="24"/>
        </w:rPr>
        <w:t xml:space="preserve">16. Структура капитала Второго уровня определяется следующим образом:</w:t>
      </w:r>
    </w:p>
    <w:p>
      <w:pPr>
        <w:spacing w:after="60"/>
        <w:ind w:firstLine="567"/>
        <w:jc w:val="both"/>
      </w:pPr>
      <w:r>
        <w:rPr>
          <w:rFonts w:ascii="Arial" w:cs="Arial" w:eastAsia="Arial" w:hAnsi="Arial"/>
          <w:sz w:val="24"/>
          <w:szCs w:val="24"/>
        </w:rPr>
        <w:t xml:space="preserve">а) "прибыль текущего года" - прибыль после налогообложения, полученная в текущем году;</w:t>
      </w:r>
    </w:p>
    <w:p>
      <w:pPr>
        <w:spacing w:after="60"/>
        <w:ind w:firstLine="567"/>
        <w:jc w:val="both"/>
      </w:pPr>
      <w:r>
        <w:rPr>
          <w:rFonts w:ascii="Arial" w:cs="Arial" w:eastAsia="Arial" w:hAnsi="Arial"/>
          <w:sz w:val="24"/>
          <w:szCs w:val="24"/>
        </w:rPr>
        <w:t xml:space="preserve">б) "общие резервы":</w:t>
      </w:r>
    </w:p>
    <w:p>
      <w:pPr>
        <w:spacing w:after="60"/>
        <w:ind w:firstLine="567"/>
        <w:jc w:val="both"/>
      </w:pPr>
      <w:r>
        <w:rPr>
          <w:rFonts w:ascii="Arial" w:cs="Arial" w:eastAsia="Arial" w:hAnsi="Arial"/>
          <w:sz w:val="24"/>
          <w:szCs w:val="24"/>
        </w:rPr>
        <w:t xml:space="preserve">1) "общие" резервы на покрытие потенциальных потерь и убытков по активам и забалансовым обязательствам, размещенным/принятым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"резервы по переоценке ценных бумаг" - нереализованные прибыль (убытки) по результатам переоценки ценных бумаг, годных для продажи;</w:t>
      </w:r>
    </w:p>
    <w:p>
      <w:pPr>
        <w:spacing w:after="60"/>
        <w:ind w:firstLine="567"/>
        <w:jc w:val="both"/>
      </w:pPr>
      <w:r>
        <w:rPr>
          <w:rFonts w:ascii="Arial" w:cs="Arial" w:eastAsia="Arial" w:hAnsi="Arial"/>
          <w:sz w:val="24"/>
          <w:szCs w:val="24"/>
        </w:rPr>
        <w:t xml:space="preserve">3) "резервы по пересчету иностранной валюты при консолидации" нереализованные доходы (убытки), возникающие в результате изменения валютного курса при консолидации отчетности иностранных дочерних финансовых организаций банка;</w:t>
      </w:r>
    </w:p>
    <w:p>
      <w:pPr>
        <w:spacing w:after="60"/>
        <w:ind w:firstLine="567"/>
        <w:jc w:val="both"/>
      </w:pPr>
      <w:r>
        <w:rPr>
          <w:rFonts w:ascii="Arial" w:cs="Arial" w:eastAsia="Arial" w:hAnsi="Arial"/>
          <w:sz w:val="24"/>
          <w:szCs w:val="24"/>
        </w:rPr>
        <w:t xml:space="preserve">в) "резерв на выравнивание прибыли" (РВП) - резерв, создаваемый по решению Совета директоров исламского банка за счет сумм, выделяемых из валовой прибыли до распределения доли мудариба, с целью поддержания определенного уровня доходности по инвестициям держателей инвестиционных счетов. Условия по расчету РВП должны быть определены предварительно и применяться в соответствии с условиями договора, подписанного держателем инвестиционного счета;</w:t>
      </w:r>
    </w:p>
    <w:p>
      <w:pPr>
        <w:spacing w:after="60"/>
        <w:ind w:firstLine="567"/>
        <w:jc w:val="both"/>
      </w:pPr>
      <w:r>
        <w:rPr>
          <w:rFonts w:ascii="Arial" w:cs="Arial" w:eastAsia="Arial" w:hAnsi="Arial"/>
          <w:sz w:val="24"/>
          <w:szCs w:val="24"/>
        </w:rPr>
        <w:t xml:space="preserve">г) "резерв на покрытие рисков по инвестициям" (в случае наличия такового) - сумма, выделяемая из прибыли держателей инвестиционных счетов, после распределения доли прибыли мудариба, с целью смягчения рисков будущих инвестиционных убытков держателей инвестиционных счетов. Порядок использования данного резерва должен быть утвержден Советом директоров исламского банка;</w:t>
      </w:r>
    </w:p>
    <w:p>
      <w:pPr>
        <w:spacing w:after="60"/>
        <w:ind w:firstLine="567"/>
        <w:jc w:val="both"/>
      </w:pPr>
      <w:r>
        <w:rPr>
          <w:rFonts w:ascii="Arial" w:cs="Arial" w:eastAsia="Arial" w:hAnsi="Arial"/>
          <w:sz w:val="24"/>
          <w:szCs w:val="24"/>
        </w:rPr>
        <w:t xml:space="preserve">д) "другие инструменты капитала" - инструменты, обладающие признаками, как капитала, так и долгового обязательства, к которым относятся:</w:t>
      </w:r>
    </w:p>
    <w:p>
      <w:pPr>
        <w:spacing w:after="60"/>
        <w:ind w:firstLine="567"/>
        <w:jc w:val="both"/>
      </w:pPr>
      <w:r>
        <w:rPr>
          <w:rFonts w:ascii="Arial" w:cs="Arial" w:eastAsia="Arial" w:hAnsi="Arial"/>
          <w:sz w:val="24"/>
          <w:szCs w:val="24"/>
        </w:rPr>
        <w:t xml:space="preserve">1) привилегированные акции, которые в данной статье указываются с учетом разницы между ценой продажи привилегированных акций и их номинальной стоимостью;</w:t>
      </w:r>
    </w:p>
    <w:p>
      <w:pPr>
        <w:spacing w:after="60"/>
        <w:ind w:firstLine="567"/>
        <w:jc w:val="both"/>
      </w:pPr>
      <w:r>
        <w:rPr>
          <w:rFonts w:ascii="Arial" w:cs="Arial" w:eastAsia="Arial" w:hAnsi="Arial"/>
          <w:sz w:val="24"/>
          <w:szCs w:val="24"/>
        </w:rPr>
        <w:t xml:space="preserve">2) бессрочный субординированный долг - инструменты бессрочного субординированного долга при соблюдении следующих требований:</w:t>
      </w:r>
    </w:p>
    <w:p>
      <w:pPr>
        <w:spacing w:after="60"/>
        <w:ind w:firstLine="567"/>
        <w:jc w:val="both"/>
      </w:pPr>
      <w:r>
        <w:rPr>
          <w:rFonts w:ascii="Arial" w:cs="Arial" w:eastAsia="Arial" w:hAnsi="Arial"/>
          <w:sz w:val="24"/>
          <w:szCs w:val="24"/>
        </w:rPr>
        <w:t xml:space="preserve">- данные инструменты должны быть полностью оплаченными, субординированными и необеспеченными залогом (в любом виде); понятие "субординированный" долг означает, что в случае ликвидации банка, требования по данным обязательствам будут погашаться в последнюю очередь, после удовлетворения всех претензий к банку со стороны кредиторов и вкладчиков, но до расчетов с акционерами банка;</w:t>
      </w:r>
    </w:p>
    <w:p>
      <w:pPr>
        <w:spacing w:after="60"/>
        <w:ind w:firstLine="567"/>
        <w:jc w:val="both"/>
      </w:pPr>
      <w:r>
        <w:rPr>
          <w:rFonts w:ascii="Arial" w:cs="Arial" w:eastAsia="Arial" w:hAnsi="Arial"/>
          <w:sz w:val="24"/>
          <w:szCs w:val="24"/>
        </w:rPr>
        <w:t xml:space="preserve">- банк может использовать данные инструменты для покрытия убытков на текущей основе, т.е. до начала процесса ликвидации банка;</w:t>
      </w:r>
    </w:p>
    <w:p>
      <w:pPr>
        <w:spacing w:after="60"/>
        <w:ind w:firstLine="567"/>
        <w:jc w:val="both"/>
      </w:pPr>
      <w:r>
        <w:rPr>
          <w:rFonts w:ascii="Arial" w:cs="Arial" w:eastAsia="Arial" w:hAnsi="Arial"/>
          <w:sz w:val="24"/>
          <w:szCs w:val="24"/>
        </w:rPr>
        <w:t xml:space="preserve">- данные инструменты не должны погашаться по инициативе их владельцев и/или без предварительного согласия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3) срочный субординированный долг - инструменты срочного субординированного долга при соблюдении следующих требований:</w:t>
      </w:r>
    </w:p>
    <w:p>
      <w:pPr>
        <w:spacing w:after="60"/>
        <w:ind w:firstLine="567"/>
        <w:jc w:val="both"/>
      </w:pPr>
      <w:r>
        <w:rPr>
          <w:rFonts w:ascii="Arial" w:cs="Arial" w:eastAsia="Arial" w:hAnsi="Arial"/>
          <w:sz w:val="24"/>
          <w:szCs w:val="24"/>
        </w:rPr>
        <w:t xml:space="preserve">- субординированный долг должен быть не обеспеченным;</w:t>
      </w:r>
    </w:p>
    <w:p>
      <w:pPr>
        <w:spacing w:after="60"/>
        <w:ind w:firstLine="567"/>
        <w:jc w:val="both"/>
      </w:pPr>
      <w:r>
        <w:rPr>
          <w:rFonts w:ascii="Arial" w:cs="Arial" w:eastAsia="Arial" w:hAnsi="Arial"/>
          <w:sz w:val="24"/>
          <w:szCs w:val="24"/>
        </w:rPr>
        <w:t xml:space="preserve">- минимальный срок погашения долга - 5 лет, при этом ежегодно из первоначальной суммы субординированного долга из расчета капитала исключается 20% от первоначальной суммы субординированного долга. В случае если срок погашения субординированного долга превышает 5 лет, ежегодные исключения из капитала в размере 20% от первоначальной суммы субординированного долга должны производиться в течение последних 5 лет от срока погашения;</w:t>
      </w:r>
    </w:p>
    <w:p>
      <w:pPr>
        <w:spacing w:after="60"/>
        <w:ind w:firstLine="567"/>
        <w:jc w:val="both"/>
      </w:pPr>
      <w:r>
        <w:rPr>
          <w:rFonts w:ascii="Arial" w:cs="Arial" w:eastAsia="Arial" w:hAnsi="Arial"/>
          <w:sz w:val="24"/>
          <w:szCs w:val="24"/>
        </w:rPr>
        <w:t xml:space="preserve">- инструменты срочного субординированного долга не покрывают убытки на текущей основе;</w:t>
      </w:r>
    </w:p>
    <w:p>
      <w:pPr>
        <w:spacing w:after="60"/>
        <w:ind w:firstLine="567"/>
        <w:jc w:val="both"/>
      </w:pPr>
      <w:r>
        <w:rPr>
          <w:rFonts w:ascii="Arial" w:cs="Arial" w:eastAsia="Arial" w:hAnsi="Arial"/>
          <w:sz w:val="24"/>
          <w:szCs w:val="24"/>
        </w:rPr>
        <w:t xml:space="preserve">- инструменты срочного субординированного долга не должны погашаться досрочно по требованию кредиторов.</w:t>
      </w:r>
    </w:p>
    <w:p>
      <w:pPr>
        <w:spacing w:after="60"/>
        <w:ind w:firstLine="567"/>
        <w:jc w:val="both"/>
      </w:pPr>
      <w:r>
        <w:rPr>
          <w:rFonts w:ascii="Arial" w:cs="Arial" w:eastAsia="Arial" w:hAnsi="Arial"/>
          <w:sz w:val="24"/>
          <w:szCs w:val="24"/>
        </w:rPr>
        <w:t xml:space="preserve">При этом банк не может погашать инструменты срочного субординированного долга раньше установленного срока без разрешения соответствующего структурного подразделения Национального банка.</w:t>
      </w:r>
    </w:p>
    <w:p>
      <w:pPr>
        <w:spacing w:after="60"/>
        <w:ind w:firstLine="567"/>
        <w:jc w:val="both"/>
      </w:pPr>
      <w:r>
        <w:rPr>
          <w:rFonts w:ascii="Arial" w:cs="Arial" w:eastAsia="Arial" w:hAnsi="Arial"/>
          <w:sz w:val="24"/>
          <w:szCs w:val="24"/>
        </w:rPr>
        <w:t xml:space="preserve">О наступлении срока погашения инструментов срочного субординированного долга банк обязан предварительно уведомить Национальный банк.</w:t>
      </w:r>
    </w:p>
    <w:p>
      <w:pPr>
        <w:spacing w:after="60"/>
        <w:ind w:firstLine="567"/>
        <w:jc w:val="both"/>
      </w:pPr>
      <w:r>
        <w:rPr>
          <w:rFonts w:ascii="Arial" w:cs="Arial" w:eastAsia="Arial" w:hAnsi="Arial"/>
          <w:sz w:val="24"/>
          <w:szCs w:val="24"/>
        </w:rPr>
        <w:t xml:space="preserve">Здесь также необходимо учитывать другие инструменты, не вошедшие в подпункт д) настоящего пункта.</w:t>
      </w:r>
    </w:p>
    <w:p>
      <w:pPr>
        <w:spacing w:after="60"/>
        <w:ind w:firstLine="567"/>
        <w:jc w:val="both"/>
      </w:pPr>
      <w:r>
        <w:rPr>
          <w:rFonts w:ascii="Arial" w:cs="Arial" w:eastAsia="Arial" w:hAnsi="Arial"/>
          <w:sz w:val="24"/>
          <w:szCs w:val="24"/>
        </w:rPr>
        <w:t xml:space="preserve">Включение в состав капитала инструментов, описанных в подпункте д) данного пункта производится с разрешения соответствующего структурного подразделения Национального банка в каждом конкретном случае.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hyperlink w:history="1" r:id="rIdvoxalan177y4vm7zpjawy">
        <w:r>
          <w:rPr>
            <w:rFonts w:ascii="Arial" w:cs="Arial" w:eastAsia="Arial" w:hAnsi="Arial"/>
            <w:i/>
            <w:iCs/>
            <w:color w:val="1D4ED8"/>
            <w:sz w:val="24"/>
            <w:szCs w:val="24"/>
            <w:u w:val="single"/>
          </w:rPr>
          <w:t xml:space="preserve">10 апреля 2019 года № 2019-П-12/19-3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расчете коэффициентов достаточности (адекватности) капитала, его отдельные составные части включаются в расчет капитала с учетом следующего:</w:t>
      </w:r>
    </w:p>
    <w:p>
      <w:pPr>
        <w:spacing w:after="60"/>
        <w:ind w:firstLine="567"/>
        <w:jc w:val="both"/>
      </w:pPr>
      <w:r>
        <w:rPr>
          <w:rFonts w:ascii="Arial" w:cs="Arial" w:eastAsia="Arial" w:hAnsi="Arial"/>
          <w:sz w:val="24"/>
          <w:szCs w:val="24"/>
        </w:rPr>
        <w:t xml:space="preserve">а) капитал Второго уровня - в размере, не превышающем размер чистого капитала Первого уровня;</w:t>
      </w:r>
    </w:p>
    <w:p>
      <w:pPr>
        <w:spacing w:after="60"/>
        <w:ind w:firstLine="567"/>
        <w:jc w:val="both"/>
      </w:pPr>
      <w:r>
        <w:rPr>
          <w:rFonts w:ascii="Arial" w:cs="Arial" w:eastAsia="Arial" w:hAnsi="Arial"/>
          <w:sz w:val="24"/>
          <w:szCs w:val="24"/>
        </w:rPr>
        <w:t xml:space="preserve">б) общие резервы - в размере, не превышающем значение, равное 1,25% от суммы взвешенных по риску балансовых активов и забалансовых обязательств;</w:t>
      </w:r>
    </w:p>
    <w:p>
      <w:pPr>
        <w:spacing w:after="60"/>
        <w:ind w:firstLine="567"/>
        <w:jc w:val="both"/>
      </w:pPr>
      <w:r>
        <w:rPr>
          <w:rFonts w:ascii="Arial" w:cs="Arial" w:eastAsia="Arial" w:hAnsi="Arial"/>
          <w:sz w:val="24"/>
          <w:szCs w:val="24"/>
        </w:rPr>
        <w:t xml:space="preserve">в) срочный субординированный долг - в размере, не превышающем 50% от размера чистого капитала Первого уровня.</w:t>
      </w:r>
    </w:p>
    <w:p>
      <w:pPr>
        <w:spacing w:after="60"/>
        <w:ind w:firstLine="567"/>
        <w:jc w:val="both"/>
      </w:pPr>
      <w:r>
        <w:rPr>
          <w:rFonts w:ascii="Arial" w:cs="Arial" w:eastAsia="Arial" w:hAnsi="Arial"/>
          <w:sz w:val="24"/>
          <w:szCs w:val="24"/>
        </w:rPr>
        <w:t xml:space="preserve">18. До расчета коэффициентов достаточности (адекватности) капитала из составных частей капитала должны быть произведены следующие вычеты:</w:t>
      </w:r>
    </w:p>
    <w:p>
      <w:pPr>
        <w:spacing w:after="60"/>
        <w:ind w:firstLine="567"/>
        <w:jc w:val="both"/>
      </w:pPr>
      <w:r>
        <w:rPr>
          <w:rFonts w:ascii="Arial" w:cs="Arial" w:eastAsia="Arial" w:hAnsi="Arial"/>
          <w:sz w:val="24"/>
          <w:szCs w:val="24"/>
        </w:rPr>
        <w:t xml:space="preserve">а) из капитала Первого уровня вычитаются нематериальные активы. Полученное значение является чистым капиталом Первого уровня;</w:t>
      </w:r>
    </w:p>
    <w:p>
      <w:pPr>
        <w:spacing w:after="60"/>
        <w:ind w:firstLine="567"/>
        <w:jc w:val="both"/>
      </w:pPr>
      <w:r>
        <w:rPr>
          <w:rFonts w:ascii="Arial" w:cs="Arial" w:eastAsia="Arial" w:hAnsi="Arial"/>
          <w:sz w:val="24"/>
          <w:szCs w:val="24"/>
        </w:rPr>
        <w:t xml:space="preserve">б) из Суммарного капитала, т.е. суммы чистого капитала Первого уровня и капитала Второго уровня вычитаются инвестиции (в виде акций или долевого участия в капитале) в другие неконсолидированные банки и финансово-кредитные организации, а также небанковские организации, за исключением инвестиций (в виде акций или долевого участия в капитале), осуществленных по договорам партнерства шарика/мушарака. Полученное значение является чистым Суммарным капиталом.</w:t>
      </w:r>
    </w:p>
    <w:p>
      <w:pPr>
        <w:spacing w:after="60"/>
        <w:ind w:firstLine="567"/>
        <w:jc w:val="both"/>
      </w:pPr>
      <w:r>
        <w:rPr>
          <w:rFonts w:ascii="Arial" w:cs="Arial" w:eastAsia="Arial" w:hAnsi="Arial"/>
          <w:sz w:val="24"/>
          <w:szCs w:val="24"/>
        </w:rPr>
        <w:t xml:space="preserve">19. Значения чистого капитала Первого уровня, и чистого Суммарного капитала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w:t>
      </w:r>
    </w:p>
    <w:p>
      <w:pPr>
        <w:spacing w:after="200" w:before="200"/>
        <w:jc w:val="center"/>
      </w:pPr>
      <w:r>
        <w:rPr>
          <w:rFonts w:ascii="Arial" w:cs="Arial" w:eastAsia="Arial" w:hAnsi="Arial"/>
          <w:b/>
          <w:bCs/>
          <w:sz w:val="24"/>
          <w:szCs w:val="24"/>
        </w:rPr>
        <w:t xml:space="preserve">4. Оценка по степени риска балансовых активов, размещенных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20. Оценка достаточности (адекватности) капитала в рамках настоящей Инструкции проводится в отношении кредитного риска, т.е. риска, относящегося к различным видам активов и заключающегося в невозможности обеспечения клиентом полного или частичного возврата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pj6e4obeah8_w2woscp2">
        <w:r>
          <w:rPr>
            <w:rFonts w:ascii="Arial" w:cs="Arial" w:eastAsia="Arial" w:hAnsi="Arial"/>
            <w:i/>
            <w:iCs/>
            <w:color w:val="1D4ED8"/>
            <w:sz w:val="24"/>
            <w:szCs w:val="24"/>
            <w:u w:val="single"/>
          </w:rPr>
          <w:t xml:space="preserve">26 апреля 2017 года № 17/13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Активы имеют различную степень кредитного риска, присущего тем или иным договорам, заключенным в соответствии с исламскими принципами банковского дела и финансирования, в том числе на различных стадиях операций. Например, наличность в кассе исламского банка является безрисковым видом активов в сравнении с активами, размещенными по операциям финансирования, осуществляемым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22. В зависимости от степени кредитного риска все балансовые активы делятся на семь категорий, согласно пункту 24 настоящей Инструкции. При этом, основными критериями кредитного риска, в соответствии с которыми балансовые активы относятся к той или иной категории, являются: тип контрагента, страновая принадлежность партнера с точки зрения трансфертного риска, обеспечение актива, гарантии и продолжительность действия актива.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va_5eaprch7b9lxiirify">
        <w:r>
          <w:rPr>
            <w:rFonts w:ascii="Arial" w:cs="Arial" w:eastAsia="Arial" w:hAnsi="Arial"/>
            <w:i/>
            <w:iCs/>
            <w:color w:val="1D4ED8"/>
            <w:sz w:val="24"/>
            <w:szCs w:val="24"/>
            <w:u w:val="single"/>
          </w:rPr>
          <w:t xml:space="preserve">26 апреля 2017 года № 17/13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hyperlink w:history="1" r:id="rIdgkpyfdqp0ofm9t2hevvx6">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i/>
          <w:iCs/>
          <w:sz w:val="24"/>
          <w:szCs w:val="24"/>
        </w:rPr>
        <w:t xml:space="preserve">23.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апреля 2017 года № 17/13)</w:t>
      </w:r>
    </w:p>
    <w:p>
      <w:pPr>
        <w:spacing w:after="60"/>
        <w:ind w:firstLine="567"/>
        <w:jc w:val="both"/>
      </w:pPr>
      <w:r>
        <w:rPr>
          <w:rFonts w:ascii="Arial" w:cs="Arial" w:eastAsia="Arial" w:hAnsi="Arial"/>
          <w:sz w:val="24"/>
          <w:szCs w:val="24"/>
        </w:rPr>
        <w:t xml:space="preserve">24. В зависимости от степени кредитного риска, а также от типа отдельных партнеров/контрагентов балансовые активы делятся на следующие категории:</w:t>
      </w:r>
    </w:p>
    <w:p>
      <w:pPr>
        <w:spacing w:after="60"/>
        <w:ind w:firstLine="567"/>
        <w:jc w:val="both"/>
      </w:pPr>
      <w:r>
        <w:rPr>
          <w:rFonts w:ascii="Arial" w:cs="Arial" w:eastAsia="Arial" w:hAnsi="Arial"/>
          <w:sz w:val="24"/>
          <w:szCs w:val="24"/>
        </w:rPr>
        <w:t xml:space="preserve">Категория 1 (степень кредитного риска - 0%):</w:t>
      </w:r>
    </w:p>
    <w:p>
      <w:pPr>
        <w:spacing w:after="60"/>
        <w:ind w:firstLine="567"/>
        <w:jc w:val="both"/>
      </w:pPr>
      <w:r>
        <w:rPr>
          <w:rFonts w:ascii="Arial" w:cs="Arial" w:eastAsia="Arial" w:hAnsi="Arial"/>
          <w:sz w:val="24"/>
          <w:szCs w:val="24"/>
        </w:rPr>
        <w:t xml:space="preserve">а) банкноты и монеты Кыргызской Республики и государств, являющихся членами ЕАЭС и ОЭСР, а также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60"/>
        <w:ind w:firstLine="567"/>
        <w:jc w:val="both"/>
      </w:pPr>
      <w:r>
        <w:rPr>
          <w:rFonts w:ascii="Arial" w:cs="Arial" w:eastAsia="Arial" w:hAnsi="Arial"/>
          <w:sz w:val="24"/>
          <w:szCs w:val="24"/>
        </w:rPr>
        <w:t xml:space="preserve">Примечание: ОЭСР - Организация экономического сотрудничества и развития. Перечень государств-членов ОЭСР размещен на официальном сайте www.oecd.org.;</w:t>
      </w:r>
    </w:p>
    <w:p>
      <w:pPr>
        <w:spacing w:after="60"/>
        <w:ind w:firstLine="567"/>
        <w:jc w:val="both"/>
      </w:pPr>
      <w:r>
        <w:rPr>
          <w:rFonts w:ascii="Arial" w:cs="Arial" w:eastAsia="Arial" w:hAnsi="Arial"/>
          <w:sz w:val="24"/>
          <w:szCs w:val="24"/>
        </w:rPr>
        <w:t xml:space="preserve">б) требования к Национальному банку;</w:t>
      </w:r>
    </w:p>
    <w:p>
      <w:pPr>
        <w:spacing w:after="60"/>
        <w:ind w:firstLine="567"/>
        <w:jc w:val="both"/>
      </w:pPr>
      <w:r>
        <w:rPr>
          <w:rFonts w:ascii="Arial" w:cs="Arial" w:eastAsia="Arial" w:hAnsi="Arial"/>
          <w:sz w:val="24"/>
          <w:szCs w:val="24"/>
        </w:rPr>
        <w:t xml:space="preserve">в) требования к Правительству Кыргызской Республики (исламские ценные бумаги, выпущенные Правительством Кыргызской Республики и другие требования);</w:t>
      </w:r>
    </w:p>
    <w:p>
      <w:pPr>
        <w:spacing w:after="60"/>
        <w:ind w:firstLine="567"/>
        <w:jc w:val="both"/>
      </w:pPr>
      <w:r>
        <w:rPr>
          <w:rFonts w:ascii="Arial" w:cs="Arial" w:eastAsia="Arial" w:hAnsi="Arial"/>
          <w:sz w:val="24"/>
          <w:szCs w:val="24"/>
        </w:rPr>
        <w:t xml:space="preserve">г) требования к центральным (национальным) банкам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60"/>
        <w:ind w:firstLine="567"/>
        <w:jc w:val="both"/>
      </w:pPr>
      <w:r>
        <w:rPr>
          <w:rFonts w:ascii="Arial" w:cs="Arial" w:eastAsia="Arial" w:hAnsi="Arial"/>
          <w:sz w:val="24"/>
          <w:szCs w:val="24"/>
        </w:rPr>
        <w:t xml:space="preserve">д) требования к правительствам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(исламские ценные бумаги, выпущенные правительствами);</w:t>
      </w:r>
    </w:p>
    <w:p>
      <w:pPr>
        <w:spacing w:after="60"/>
        <w:ind w:firstLine="567"/>
        <w:jc w:val="both"/>
      </w:pPr>
      <w:r>
        <w:rPr>
          <w:rFonts w:ascii="Arial" w:cs="Arial" w:eastAsia="Arial" w:hAnsi="Arial"/>
          <w:sz w:val="24"/>
          <w:szCs w:val="24"/>
        </w:rPr>
        <w:t xml:space="preserve">е) активы (или их часть) с обеспечением, выраженным в валюте Кыргызской Республики, и находящимся на отдельном счете.</w:t>
      </w:r>
    </w:p>
    <w:p>
      <w:pPr>
        <w:spacing w:after="60"/>
        <w:ind w:firstLine="567"/>
        <w:jc w:val="both"/>
      </w:pPr>
      <w:r>
        <w:rPr>
          <w:rFonts w:ascii="Arial" w:cs="Arial" w:eastAsia="Arial" w:hAnsi="Arial"/>
          <w:sz w:val="24"/>
          <w:szCs w:val="24"/>
        </w:rPr>
        <w:t xml:space="preserve">Примечание: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28 декабря 2009 г. № 51/6;</w:t>
      </w:r>
    </w:p>
    <w:p>
      <w:pPr>
        <w:spacing w:after="60"/>
        <w:ind w:firstLine="567"/>
        <w:jc w:val="both"/>
      </w:pPr>
      <w:r>
        <w:rPr>
          <w:rFonts w:ascii="Arial" w:cs="Arial" w:eastAsia="Arial" w:hAnsi="Arial"/>
          <w:sz w:val="24"/>
          <w:szCs w:val="24"/>
        </w:rPr>
        <w:t xml:space="preserve">ж) активы (или их часть) с обеспечением, выраженным в валюте государств, являющихся членами ЕАЭС и ОЭСР, а также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 находящимся на отдельном депозитном счете.</w:t>
      </w:r>
    </w:p>
    <w:p>
      <w:pPr>
        <w:spacing w:after="60"/>
        <w:ind w:firstLine="567"/>
        <w:jc w:val="both"/>
      </w:pPr>
      <w:r>
        <w:rPr>
          <w:rFonts w:ascii="Arial" w:cs="Arial" w:eastAsia="Arial" w:hAnsi="Arial"/>
          <w:sz w:val="24"/>
          <w:szCs w:val="24"/>
        </w:rPr>
        <w:t xml:space="preserve">Категория 2 (степень кредитного риска - 10%):</w:t>
      </w:r>
    </w:p>
    <w:p>
      <w:pPr>
        <w:spacing w:after="60"/>
        <w:ind w:firstLine="567"/>
        <w:jc w:val="both"/>
      </w:pPr>
      <w:r>
        <w:rPr>
          <w:rFonts w:ascii="Arial" w:cs="Arial" w:eastAsia="Arial" w:hAnsi="Arial"/>
          <w:sz w:val="24"/>
          <w:szCs w:val="24"/>
        </w:rPr>
        <w:t xml:space="preserve">а) активы (или их часть), обеспеченные исламскими ценными бумагами по текущей рыночной стоимости, которые выпущены Правительством Кыргызской Республики;</w:t>
      </w:r>
    </w:p>
    <w:p>
      <w:pPr>
        <w:spacing w:after="60"/>
        <w:ind w:firstLine="567"/>
        <w:jc w:val="both"/>
      </w:pPr>
      <w:r>
        <w:rPr>
          <w:rFonts w:ascii="Arial" w:cs="Arial" w:eastAsia="Arial" w:hAnsi="Arial"/>
          <w:sz w:val="24"/>
          <w:szCs w:val="24"/>
        </w:rPr>
        <w:t xml:space="preserve">б) активы (или их часть), обеспеченные исламскими ценными бумагами по текущей рыночной цене, которые выпущены правительствами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60"/>
        <w:ind w:firstLine="567"/>
        <w:jc w:val="both"/>
      </w:pPr>
      <w:r>
        <w:rPr>
          <w:rFonts w:ascii="Arial" w:cs="Arial" w:eastAsia="Arial" w:hAnsi="Arial"/>
          <w:sz w:val="24"/>
          <w:szCs w:val="24"/>
        </w:rPr>
        <w:t xml:space="preserve">Категория 3 (степень кредитного риска - 20%):</w:t>
      </w:r>
    </w:p>
    <w:p>
      <w:pPr>
        <w:spacing w:after="60"/>
        <w:ind w:firstLine="567"/>
        <w:jc w:val="both"/>
      </w:pPr>
      <w:r>
        <w:rPr>
          <w:rFonts w:ascii="Arial" w:cs="Arial" w:eastAsia="Arial" w:hAnsi="Arial"/>
          <w:sz w:val="24"/>
          <w:szCs w:val="24"/>
        </w:rPr>
        <w:t xml:space="preserve">а) денежные активы в расчетах с банками и другими финансово-кредитными организациями Кыргызской Республики;</w:t>
      </w:r>
    </w:p>
    <w:p>
      <w:pPr>
        <w:spacing w:after="60"/>
        <w:ind w:firstLine="567"/>
        <w:jc w:val="both"/>
      </w:pPr>
      <w:r>
        <w:rPr>
          <w:rFonts w:ascii="Arial" w:cs="Arial" w:eastAsia="Arial" w:hAnsi="Arial"/>
          <w:sz w:val="24"/>
          <w:szCs w:val="24"/>
        </w:rPr>
        <w:t xml:space="preserve">б) золото и другие сертифицированные драгоценные металлы в стандартных слитках, не запрещенные стандартами Шариата, утвержденными Организацией бухгалтерского учета и аудита для исламских финансовых институтов (AAOIFI);</w:t>
      </w:r>
    </w:p>
    <w:p>
      <w:pPr>
        <w:spacing w:after="60"/>
        <w:ind w:firstLine="567"/>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60"/>
        <w:ind w:firstLine="567"/>
        <w:jc w:val="both"/>
      </w:pPr>
      <w:r>
        <w:rPr>
          <w:rFonts w:ascii="Arial" w:cs="Arial" w:eastAsia="Arial" w:hAnsi="Arial"/>
          <w:sz w:val="24"/>
          <w:szCs w:val="24"/>
        </w:rPr>
        <w:t xml:space="preserve">г) требования к банкам и другим финансово-кредитным организациям Кыргызской Республики, и все активы, основанные на гарантиях данных организаций;</w:t>
      </w:r>
    </w:p>
    <w:p>
      <w:pPr>
        <w:spacing w:after="60"/>
        <w:ind w:firstLine="567"/>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не являются аффилированными организациями по отношению к отчитывающемуся банку, и все активы, основанные на гарантиях данных организаций.</w:t>
      </w:r>
    </w:p>
    <w:p>
      <w:pPr>
        <w:spacing w:after="60"/>
        <w:ind w:firstLine="567"/>
        <w:jc w:val="both"/>
      </w:pPr>
      <w:r>
        <w:rPr>
          <w:rFonts w:ascii="Arial" w:cs="Arial" w:eastAsia="Arial" w:hAnsi="Arial"/>
          <w:sz w:val="24"/>
          <w:szCs w:val="24"/>
        </w:rPr>
        <w:t xml:space="preserve">Категория 4 (степень кредитного риска - 50%):</w:t>
      </w:r>
    </w:p>
    <w:p>
      <w:pPr>
        <w:spacing w:after="60"/>
        <w:ind w:firstLine="567"/>
        <w:jc w:val="both"/>
      </w:pPr>
      <w:r>
        <w:rPr>
          <w:rFonts w:ascii="Arial" w:cs="Arial" w:eastAsia="Arial" w:hAnsi="Arial"/>
          <w:sz w:val="24"/>
          <w:szCs w:val="24"/>
        </w:rPr>
        <w:t xml:space="preserve">а) финансирование, предоставленное физическим лицам для покупки или строительства жилья на одну семью и гарантированные первым залогом по такому жилью. К этой категории относятся только такие активы, которые выданы лицам, намеревающимся жить в данном доме или квартире, т.е. данное жилье (или его часть) не будет использовано в других целях (продажа, аренда и т.п.).</w:t>
      </w:r>
    </w:p>
    <w:p>
      <w:pPr>
        <w:spacing w:after="60"/>
        <w:ind w:firstLine="567"/>
        <w:jc w:val="both"/>
      </w:pPr>
      <w:r>
        <w:rPr>
          <w:rFonts w:ascii="Arial" w:cs="Arial" w:eastAsia="Arial" w:hAnsi="Arial"/>
          <w:sz w:val="24"/>
          <w:szCs w:val="24"/>
        </w:rPr>
        <w:t xml:space="preserve">В случае, если просрочка по данным активам составляет свыше 30 дней, или они реструктуризированы, то они указываются в категории 5 со степенью кредитного риска 100%.</w:t>
      </w:r>
    </w:p>
    <w:p>
      <w:pPr>
        <w:spacing w:after="60"/>
        <w:ind w:firstLine="567"/>
        <w:jc w:val="both"/>
      </w:pPr>
      <w:r>
        <w:rPr>
          <w:rFonts w:ascii="Arial" w:cs="Arial" w:eastAsia="Arial" w:hAnsi="Arial"/>
          <w:sz w:val="24"/>
          <w:szCs w:val="24"/>
        </w:rPr>
        <w:t xml:space="preserve">б) золото и другие сертифицированные драгоценные металлы в мерных слитках, не запрещенные стандартами Шариата, утвержденными Организацией бухгалтерского учета и аудита дм исламских финансовых институтов (AAOIFI);</w:t>
      </w:r>
    </w:p>
    <w:p>
      <w:pPr>
        <w:spacing w:after="60"/>
        <w:ind w:firstLine="567"/>
        <w:jc w:val="both"/>
      </w:pPr>
      <w:r>
        <w:rPr>
          <w:rFonts w:ascii="Arial" w:cs="Arial" w:eastAsia="Arial" w:hAnsi="Arial"/>
          <w:sz w:val="24"/>
          <w:szCs w:val="24"/>
        </w:rPr>
        <w:t xml:space="preserve">в) финансирование, предоставленное коммерческим банком по государственным программам, в том числе за счет собственных средств банка, связанным с финансированием сельского хозяйства и экспортно ориентированных и импортозамещающих предприятий, а также другим государственным программам, направленным на оказание содействия развитию экономики республики.</w:t>
      </w:r>
    </w:p>
    <w:p>
      <w:pPr>
        <w:spacing w:after="60"/>
        <w:ind w:firstLine="567"/>
        <w:jc w:val="both"/>
      </w:pPr>
      <w:r>
        <w:rPr>
          <w:rFonts w:ascii="Arial" w:cs="Arial" w:eastAsia="Arial" w:hAnsi="Arial"/>
          <w:sz w:val="24"/>
          <w:szCs w:val="24"/>
        </w:rPr>
        <w:t xml:space="preserve">В случае, если просрочка по данным активам составляет свыше 90 дней и/или они повторно реструктуризированы, то они указываются в категории 5 со степенью кредитного риска 100%.</w:t>
      </w:r>
    </w:p>
    <w:p>
      <w:pPr>
        <w:spacing w:after="60"/>
        <w:ind w:firstLine="567"/>
        <w:jc w:val="both"/>
      </w:pPr>
      <w:r>
        <w:rPr>
          <w:rFonts w:ascii="Arial" w:cs="Arial" w:eastAsia="Arial" w:hAnsi="Arial"/>
          <w:sz w:val="24"/>
          <w:szCs w:val="24"/>
        </w:rPr>
        <w:t xml:space="preserve">Примечание: к государственным программам относятся программы, финансируемые частично или полностью из республиканского бюджета или реализуемые через субсидирование из средств республиканского бюджета, включая финансирование, осуществляемое в сотрудничестве с организациями, созданными государством; программы в рамках реализации межгосударственных (межправительственных) проектов согласно международным договорам и соглашениям.</w:t>
      </w:r>
    </w:p>
    <w:p>
      <w:pPr>
        <w:spacing w:after="60"/>
        <w:ind w:firstLine="567"/>
        <w:jc w:val="both"/>
      </w:pPr>
      <w:r>
        <w:rPr>
          <w:rFonts w:ascii="Arial" w:cs="Arial" w:eastAsia="Arial" w:hAnsi="Arial"/>
          <w:sz w:val="24"/>
          <w:szCs w:val="24"/>
        </w:rPr>
        <w:t xml:space="preserve">Категория 5 (степень кредитного риска - 100%):</w:t>
      </w:r>
    </w:p>
    <w:p>
      <w:pPr>
        <w:spacing w:after="60"/>
        <w:ind w:firstLine="567"/>
        <w:jc w:val="both"/>
      </w:pPr>
      <w:r>
        <w:rPr>
          <w:rFonts w:ascii="Arial" w:cs="Arial" w:eastAsia="Arial" w:hAnsi="Arial"/>
          <w:sz w:val="24"/>
          <w:szCs w:val="24"/>
        </w:rPr>
        <w:t xml:space="preserve">а) банкноты и монеты, не вошедшие в категорию 1;</w:t>
      </w:r>
    </w:p>
    <w:p>
      <w:pPr>
        <w:spacing w:after="60"/>
        <w:ind w:firstLine="567"/>
        <w:jc w:val="both"/>
      </w:pPr>
      <w:r>
        <w:rPr>
          <w:rFonts w:ascii="Arial" w:cs="Arial" w:eastAsia="Arial" w:hAnsi="Arial"/>
          <w:sz w:val="24"/>
          <w:szCs w:val="24"/>
        </w:rPr>
        <w:t xml:space="preserve">б) требования к правительствам и центральным банкам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 (ценные бумаги, выпущенные правительствами этих государств и другие требования);</w:t>
      </w:r>
    </w:p>
    <w:p>
      <w:pPr>
        <w:spacing w:after="60"/>
        <w:ind w:firstLine="567"/>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w:t>
      </w:r>
      <w:r>
        <w:rPr>
          <w:rFonts w:ascii="Arial" w:cs="Arial" w:eastAsia="Arial" w:hAnsi="Arial"/>
          <w:sz w:val="24"/>
          <w:szCs w:val="24"/>
        </w:rPr>
        <w:t xml:space="preserve">Fitch Ratings</w:t>
      </w:r>
      <w:r>
        <w:rPr>
          <w:rFonts w:ascii="Arial" w:cs="Arial" w:eastAsia="Arial" w:hAnsi="Arial"/>
          <w:sz w:val="24"/>
          <w:szCs w:val="24"/>
        </w:rPr>
        <w:t xml:space="preserve">", "</w:t>
      </w:r>
      <w:r>
        <w:rPr>
          <w:rFonts w:ascii="Arial" w:cs="Arial" w:eastAsia="Arial" w:hAnsi="Arial"/>
          <w:sz w:val="24"/>
          <w:szCs w:val="24"/>
        </w:rPr>
        <w:t xml:space="preserve">Dominion Bond Rating Service</w:t>
      </w:r>
      <w:r>
        <w:rPr>
          <w:rFonts w:ascii="Arial" w:cs="Arial" w:eastAsia="Arial" w:hAnsi="Arial"/>
          <w:sz w:val="24"/>
          <w:szCs w:val="24"/>
        </w:rPr>
        <w:t xml:space="preserve"> (</w:t>
      </w:r>
      <w:r>
        <w:rPr>
          <w:rFonts w:ascii="Arial" w:cs="Arial" w:eastAsia="Arial" w:hAnsi="Arial"/>
          <w:sz w:val="24"/>
          <w:szCs w:val="24"/>
        </w:rPr>
        <w:t xml:space="preserve">DBRS</w:t>
      </w:r>
      <w:r>
        <w:rPr>
          <w:rFonts w:ascii="Arial" w:cs="Arial" w:eastAsia="Arial" w:hAnsi="Arial"/>
          <w:sz w:val="24"/>
          <w:szCs w:val="24"/>
        </w:rPr>
        <w:t xml:space="preserve">)" и "</w:t>
      </w:r>
      <w:r>
        <w:rPr>
          <w:rFonts w:ascii="Arial" w:cs="Arial" w:eastAsia="Arial" w:hAnsi="Arial"/>
          <w:sz w:val="24"/>
          <w:szCs w:val="24"/>
        </w:rPr>
        <w:t xml:space="preserve">Moody</w:t>
      </w:r>
      <w:r>
        <w:rPr>
          <w:rFonts w:ascii="Arial" w:cs="Arial" w:eastAsia="Arial" w:hAnsi="Arial"/>
          <w:sz w:val="24"/>
          <w:szCs w:val="24"/>
        </w:rPr>
        <w:t xml:space="preserve">'</w:t>
      </w:r>
      <w:r>
        <w:rPr>
          <w:rFonts w:ascii="Arial" w:cs="Arial" w:eastAsia="Arial" w:hAnsi="Arial"/>
          <w:sz w:val="24"/>
          <w:szCs w:val="24"/>
        </w:rPr>
        <w:t xml:space="preserve">s Investors Service</w:t>
      </w:r>
      <w:r>
        <w:rPr>
          <w:rFonts w:ascii="Arial" w:cs="Arial" w:eastAsia="Arial" w:hAnsi="Arial"/>
          <w:sz w:val="24"/>
          <w:szCs w:val="24"/>
        </w:rPr>
        <w:t xml:space="preserve">" или не являющихся членами ОЭСР;</w:t>
      </w:r>
    </w:p>
    <w:p>
      <w:pPr>
        <w:spacing w:after="60"/>
        <w:ind w:firstLine="567"/>
        <w:jc w:val="both"/>
      </w:pPr>
      <w:r>
        <w:rPr>
          <w:rFonts w:ascii="Arial" w:cs="Arial" w:eastAsia="Arial" w:hAnsi="Arial"/>
          <w:sz w:val="24"/>
          <w:szCs w:val="24"/>
        </w:rPr>
        <w:t xml:space="preserve">г)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являются аффилированными организациями по отношению к отчитывающемуся банку;</w:t>
      </w:r>
    </w:p>
    <w:p>
      <w:pPr>
        <w:spacing w:after="60"/>
        <w:ind w:firstLine="567"/>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w:t>
      </w:r>
    </w:p>
    <w:p>
      <w:pPr>
        <w:spacing w:after="60"/>
        <w:ind w:firstLine="567"/>
        <w:jc w:val="both"/>
      </w:pPr>
      <w:r>
        <w:rPr>
          <w:rFonts w:ascii="Arial" w:cs="Arial" w:eastAsia="Arial" w:hAnsi="Arial"/>
          <w:sz w:val="24"/>
          <w:szCs w:val="24"/>
        </w:rPr>
        <w:t xml:space="preserve">е) активы, размещенные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активы, размещенные по договорам мудараба, мушарака. При этом, в качестве обеспечения по таким договорам выступает залог (недвижимое и движимое имущество), который должен быть реализуемым в сроки, установленные нормативными правовыми актами Национального банка Кыргызской Республики. Стоимость залога при его реализации должна быть достаточной для выплаты банку основной суммы финансирования и возможных издержек, связанных с реализацией залога.</w:t>
      </w:r>
    </w:p>
    <w:p>
      <w:pPr>
        <w:spacing w:after="60"/>
        <w:ind w:firstLine="567"/>
        <w:jc w:val="both"/>
      </w:pPr>
      <w:r>
        <w:rPr>
          <w:rFonts w:ascii="Arial" w:cs="Arial" w:eastAsia="Arial" w:hAnsi="Arial"/>
          <w:sz w:val="24"/>
          <w:szCs w:val="24"/>
        </w:rPr>
        <w:t xml:space="preserve">Стоимость залога должна быть подтверждена заключением независимого оценщика в соответствии со стандартами оценки имущества, обязательными к применению всеми субъектами оценочной деятельности в Кыргызской Республике,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апреля 2006 года № 217. Независимая оценка залогового имущества на ежегодной основе является обязательным требованием для отнесения актива к данной категории. В случае снижения стоимости обеспечения, ухудшения его качества, что может привести к трудностям при реализации залога, активы, размещенные по договорам мудараба, мушарака указываются в категории 6 со степенью риска 400%. Исходя из практики осуществления банком операций по договорам мудараба, мушарака, Национальным банком могут устанавливаться дополнительные требования и ограничения к проведению банком данных операций, в том числе к залоговому обеспечению;</w:t>
      </w:r>
    </w:p>
    <w:p>
      <w:pPr>
        <w:spacing w:after="60"/>
        <w:ind w:firstLine="567"/>
        <w:jc w:val="both"/>
      </w:pPr>
      <w:r>
        <w:rPr>
          <w:rFonts w:ascii="Arial" w:cs="Arial" w:eastAsia="Arial" w:hAnsi="Arial"/>
          <w:sz w:val="24"/>
          <w:szCs w:val="24"/>
        </w:rPr>
        <w:t xml:space="preserve">- другие активы, размещенные в соответствии с исламскими принципами банковского дела и финансирования, не вошедшие в другие категории;</w:t>
      </w:r>
    </w:p>
    <w:p>
      <w:pPr>
        <w:spacing w:after="60"/>
        <w:ind w:firstLine="567"/>
        <w:jc w:val="both"/>
      </w:pPr>
      <w:r>
        <w:rPr>
          <w:rFonts w:ascii="Arial" w:cs="Arial" w:eastAsia="Arial" w:hAnsi="Arial"/>
          <w:sz w:val="24"/>
          <w:szCs w:val="24"/>
        </w:rPr>
        <w:t xml:space="preserve">ж) основные средства и прочая собственность банка;</w:t>
      </w:r>
    </w:p>
    <w:p>
      <w:pPr>
        <w:spacing w:after="60"/>
        <w:ind w:firstLine="567"/>
        <w:jc w:val="both"/>
      </w:pPr>
      <w:r>
        <w:rPr>
          <w:rFonts w:ascii="Arial" w:cs="Arial" w:eastAsia="Arial" w:hAnsi="Arial"/>
          <w:sz w:val="24"/>
          <w:szCs w:val="24"/>
        </w:rPr>
        <w:t xml:space="preserve">з) инвестиции и финансовое участие за минусом предусмотренных вычетов, предусмотренных подпунктом "б" пункта 18 настоящей Инструкции;</w:t>
      </w:r>
    </w:p>
    <w:p>
      <w:pPr>
        <w:spacing w:after="60"/>
        <w:ind w:firstLine="567"/>
        <w:jc w:val="both"/>
      </w:pPr>
      <w:r>
        <w:rPr>
          <w:rFonts w:ascii="Arial" w:cs="Arial" w:eastAsia="Arial" w:hAnsi="Arial"/>
          <w:sz w:val="24"/>
          <w:szCs w:val="24"/>
        </w:rPr>
        <w:t xml:space="preserve">и) все прочие активы, не вошедшие в предыдущие категории.</w:t>
      </w:r>
    </w:p>
    <w:p>
      <w:pPr>
        <w:spacing w:after="60"/>
        <w:ind w:firstLine="567"/>
        <w:jc w:val="both"/>
      </w:pPr>
      <w:r>
        <w:rPr>
          <w:rFonts w:ascii="Arial" w:cs="Arial" w:eastAsia="Arial" w:hAnsi="Arial"/>
          <w:sz w:val="24"/>
          <w:szCs w:val="24"/>
        </w:rPr>
        <w:t xml:space="preserve">Категория 6 (степень кредитного риска - 150%):</w:t>
      </w:r>
    </w:p>
    <w:p>
      <w:pPr>
        <w:spacing w:after="60"/>
        <w:ind w:firstLine="567"/>
        <w:jc w:val="both"/>
      </w:pPr>
      <w:r>
        <w:rPr>
          <w:rFonts w:ascii="Arial" w:cs="Arial" w:eastAsia="Arial" w:hAnsi="Arial"/>
          <w:sz w:val="24"/>
          <w:szCs w:val="24"/>
        </w:rPr>
        <w:t xml:space="preserve">- активы, размещенные в соответствии с исламскими принципами банковского дела и финансирования в иностранной валюте, за исключением активов в валюте государств-членов ЕАЭС, а также кроме указанных в категории 4.</w:t>
      </w:r>
    </w:p>
    <w:p>
      <w:pPr>
        <w:spacing w:after="60"/>
        <w:ind w:firstLine="567"/>
        <w:jc w:val="both"/>
      </w:pPr>
      <w:r>
        <w:rPr>
          <w:rFonts w:ascii="Arial" w:cs="Arial" w:eastAsia="Arial" w:hAnsi="Arial"/>
          <w:sz w:val="24"/>
          <w:szCs w:val="24"/>
        </w:rPr>
        <w:t xml:space="preserve">Категория 7 (степень кредитного риска - 400%):</w:t>
      </w:r>
    </w:p>
    <w:p>
      <w:pPr>
        <w:spacing w:after="60"/>
        <w:ind w:firstLine="567"/>
        <w:jc w:val="both"/>
      </w:pPr>
      <w:r>
        <w:rPr>
          <w:rFonts w:ascii="Arial" w:cs="Arial" w:eastAsia="Arial" w:hAnsi="Arial"/>
          <w:sz w:val="24"/>
          <w:szCs w:val="24"/>
        </w:rPr>
        <w:t xml:space="preserve">- активы, размещенные по договорам мудараба, мушарака, за исключением активов, указанных в категориях 1-6.</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516zcbkgfvm0otllqspf1">
        <w:r>
          <w:rPr>
            <w:rFonts w:ascii="Arial" w:cs="Arial" w:eastAsia="Arial" w:hAnsi="Arial"/>
            <w:i/>
            <w:iCs/>
            <w:color w:val="1D4ED8"/>
            <w:sz w:val="24"/>
            <w:szCs w:val="24"/>
            <w:u w:val="single"/>
          </w:rPr>
          <w:t xml:space="preserve">26 апреля 2017 года № 17/13,</w:t>
        </w:r>
      </w:hyperlink>
      <w:hyperlink w:history="1" r:id="rIdlgxwavrpf4nrxcdr-ge5y">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sz w:val="24"/>
          <w:szCs w:val="24"/>
        </w:rPr>
        <w:t xml:space="preserve">25. Вложения в ценные бумаги взвешиваются за минусом премии (дисконта) и нереализованной прибыли (убытков).</w:t>
      </w:r>
    </w:p>
    <w:p>
      <w:pPr>
        <w:spacing w:after="60"/>
        <w:ind w:firstLine="567"/>
        <w:jc w:val="both"/>
      </w:pPr>
      <w:r>
        <w:rPr>
          <w:rFonts w:ascii="Arial" w:cs="Arial" w:eastAsia="Arial" w:hAnsi="Arial"/>
          <w:sz w:val="24"/>
          <w:szCs w:val="24"/>
        </w:rPr>
        <w:t xml:space="preserve">26. Доходы по активам взвешиваются по степеням риска, аналогичным тем, по которым взвешиваются сами активы.</w:t>
      </w:r>
    </w:p>
    <w:p>
      <w:pPr>
        <w:spacing w:after="200" w:before="200"/>
        <w:jc w:val="center"/>
      </w:pPr>
      <w:r>
        <w:rPr>
          <w:rFonts w:ascii="Arial" w:cs="Arial" w:eastAsia="Arial" w:hAnsi="Arial"/>
          <w:b/>
          <w:bCs/>
          <w:sz w:val="24"/>
          <w:szCs w:val="24"/>
        </w:rPr>
        <w:t xml:space="preserve">5. Оценка забалансовых обязательств по степени риска</w:t>
      </w:r>
    </w:p>
    <w:p>
      <w:pPr>
        <w:spacing w:after="60"/>
        <w:ind w:firstLine="567"/>
        <w:jc w:val="both"/>
      </w:pPr>
      <w:r>
        <w:rPr>
          <w:rFonts w:ascii="Arial" w:cs="Arial" w:eastAsia="Arial" w:hAnsi="Arial"/>
          <w:sz w:val="24"/>
          <w:szCs w:val="24"/>
        </w:rPr>
        <w:t xml:space="preserve">27. Забалансовые обязательства также подвержены кредитному риску при наличии определенных условий (см. пункт 20 настоящей Инструкции). Например, выдача банком гарантий от имени клиента может при наступлении определенных событий, трансформироваться в обыкновенное размещение актива.</w:t>
      </w:r>
    </w:p>
    <w:p>
      <w:pPr>
        <w:spacing w:after="60"/>
        <w:ind w:firstLine="567"/>
        <w:jc w:val="both"/>
      </w:pPr>
      <w:r>
        <w:rPr>
          <w:rFonts w:ascii="Arial" w:cs="Arial" w:eastAsia="Arial" w:hAnsi="Arial"/>
          <w:sz w:val="24"/>
          <w:szCs w:val="24"/>
        </w:rPr>
        <w:t xml:space="preserve">28. Размер риска по забалансовым обязательствам определяется путем умножения номинальной стоимости забалансовых обязательств на соответствующий процентный размер фактора кредитной конверсии. Полученные значения являются балансовыми эквивалентами забалансовых обязательств и далее взвешиваются в зависимости от степени кредитного риска согласно </w:t>
      </w:r>
      <w:r>
        <w:rPr>
          <w:rFonts w:ascii="Arial" w:cs="Arial" w:eastAsia="Arial" w:hAnsi="Arial"/>
          <w:sz w:val="24"/>
          <w:szCs w:val="24"/>
        </w:rPr>
        <w:t xml:space="preserve">разделу 4</w:t>
      </w:r>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29. Настоящей инструкцией определяются следующие процентные размеры факторов кредитной конверсии для забалансовых обязательств:</w:t>
      </w:r>
    </w:p>
    <w:p>
      <w:pPr>
        <w:spacing w:after="60"/>
        <w:ind w:firstLine="567"/>
        <w:jc w:val="both"/>
      </w:pPr>
      <w:r>
        <w:rPr>
          <w:rFonts w:ascii="Arial" w:cs="Arial" w:eastAsia="Arial" w:hAnsi="Arial"/>
          <w:sz w:val="24"/>
          <w:szCs w:val="24"/>
        </w:rPr>
        <w:t xml:space="preserve">Фактор кредитной конверсии 0%:</w:t>
      </w:r>
    </w:p>
    <w:p>
      <w:pPr>
        <w:spacing w:after="60"/>
        <w:ind w:firstLine="567"/>
        <w:jc w:val="both"/>
      </w:pPr>
      <w:r>
        <w:rPr>
          <w:rFonts w:ascii="Arial" w:cs="Arial" w:eastAsia="Arial" w:hAnsi="Arial"/>
          <w:sz w:val="24"/>
          <w:szCs w:val="24"/>
        </w:rPr>
        <w:t xml:space="preserve">а) любые обязательства, которые банк может безоговорочно отменить в любое время без предварительного уведомления или по которым предусмотрено право автоматической отмены в случае ухудшения финансового состояния заемщика.</w:t>
      </w:r>
    </w:p>
    <w:p>
      <w:pPr>
        <w:spacing w:after="60"/>
        <w:ind w:firstLine="567"/>
        <w:jc w:val="both"/>
      </w:pPr>
      <w:r>
        <w:rPr>
          <w:rFonts w:ascii="Arial" w:cs="Arial" w:eastAsia="Arial" w:hAnsi="Arial"/>
          <w:sz w:val="24"/>
          <w:szCs w:val="24"/>
        </w:rPr>
        <w:t xml:space="preserve">Фактор кредитной конверсии 20%:</w:t>
      </w:r>
    </w:p>
    <w:p>
      <w:pPr>
        <w:spacing w:after="60"/>
        <w:ind w:firstLine="567"/>
        <w:jc w:val="both"/>
      </w:pPr>
      <w:r>
        <w:rPr>
          <w:rFonts w:ascii="Arial" w:cs="Arial" w:eastAsia="Arial" w:hAnsi="Arial"/>
          <w:sz w:val="24"/>
          <w:szCs w:val="24"/>
        </w:rPr>
        <w:t xml:space="preserve">а) аккредитив, выдаваемый или подтверждаемый банком при финансировании импорта или экспорта на основе договора мурабаха, где обеспечением выступает залог в виде товаров/груза, который застрахован.</w:t>
      </w:r>
    </w:p>
    <w:p>
      <w:pPr>
        <w:spacing w:after="60"/>
        <w:ind w:firstLine="567"/>
        <w:jc w:val="both"/>
      </w:pPr>
      <w:r>
        <w:rPr>
          <w:rFonts w:ascii="Arial" w:cs="Arial" w:eastAsia="Arial" w:hAnsi="Arial"/>
          <w:sz w:val="24"/>
          <w:szCs w:val="24"/>
        </w:rPr>
        <w:t xml:space="preserve">Фактор кредитной конверсии - 50%:</w:t>
      </w:r>
    </w:p>
    <w:p>
      <w:pPr>
        <w:spacing w:after="60"/>
        <w:ind w:firstLine="567"/>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w:t>
      </w:r>
    </w:p>
    <w:p>
      <w:pPr>
        <w:spacing w:after="60"/>
        <w:ind w:firstLine="567"/>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w:t>
      </w:r>
    </w:p>
    <w:p>
      <w:pPr>
        <w:spacing w:after="60"/>
        <w:ind w:firstLine="567"/>
        <w:jc w:val="both"/>
      </w:pPr>
      <w:r>
        <w:rPr>
          <w:rFonts w:ascii="Arial" w:cs="Arial" w:eastAsia="Arial" w:hAnsi="Arial"/>
          <w:sz w:val="24"/>
          <w:szCs w:val="24"/>
        </w:rPr>
        <w:t xml:space="preserve">Фактор кредитной конверсии - 100%:</w:t>
      </w:r>
    </w:p>
    <w:p>
      <w:pPr>
        <w:spacing w:after="60"/>
        <w:ind w:firstLine="567"/>
        <w:jc w:val="both"/>
      </w:pPr>
      <w:r>
        <w:rPr>
          <w:rFonts w:ascii="Arial" w:cs="Arial" w:eastAsia="Arial" w:hAnsi="Arial"/>
          <w:sz w:val="24"/>
          <w:szCs w:val="24"/>
        </w:rPr>
        <w:t xml:space="preserve">а) обязательства по предоставлению актива;</w:t>
      </w:r>
    </w:p>
    <w:p>
      <w:pPr>
        <w:spacing w:after="60"/>
        <w:ind w:firstLine="567"/>
        <w:jc w:val="both"/>
      </w:pPr>
      <w:r>
        <w:rPr>
          <w:rFonts w:ascii="Arial" w:cs="Arial" w:eastAsia="Arial" w:hAnsi="Arial"/>
          <w:sz w:val="24"/>
          <w:szCs w:val="24"/>
        </w:rPr>
        <w:t xml:space="preserve">б) кредитные заменители (например, общие гарантии,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договорному соглашению или подобным образом;</w:t>
      </w:r>
    </w:p>
    <w:p>
      <w:pPr>
        <w:spacing w:after="60"/>
        <w:ind w:firstLine="567"/>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w:t>
      </w:r>
    </w:p>
    <w:p>
      <w:pPr>
        <w:spacing w:after="60"/>
        <w:ind w:firstLine="567"/>
        <w:jc w:val="both"/>
      </w:pPr>
      <w:r>
        <w:rPr>
          <w:rFonts w:ascii="Arial" w:cs="Arial" w:eastAsia="Arial" w:hAnsi="Arial"/>
          <w:sz w:val="24"/>
          <w:szCs w:val="24"/>
        </w:rPr>
        <w:t xml:space="preserve">г) обязательства по покупке активов;</w:t>
      </w:r>
    </w:p>
    <w:p>
      <w:pPr>
        <w:spacing w:after="60"/>
        <w:ind w:firstLine="567"/>
        <w:jc w:val="both"/>
      </w:pPr>
      <w:r>
        <w:rPr>
          <w:rFonts w:ascii="Arial" w:cs="Arial" w:eastAsia="Arial" w:hAnsi="Arial"/>
          <w:sz w:val="24"/>
          <w:szCs w:val="24"/>
        </w:rPr>
        <w:t xml:space="preserve">д) прочие забалансовые обязательства, не вошедшие в предыдущие категории.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5yultpfotytik7aemds3">
        <w:r>
          <w:rPr>
            <w:rFonts w:ascii="Arial" w:cs="Arial" w:eastAsia="Arial" w:hAnsi="Arial"/>
            <w:i/>
            <w:iCs/>
            <w:color w:val="1D4ED8"/>
            <w:sz w:val="24"/>
            <w:szCs w:val="24"/>
            <w:u w:val="single"/>
          </w:rPr>
          <w:t xml:space="preserve">31 мая 2017 года № 21/11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Банку необходимо оценивать забалансовые обязательства, связанные с валютными курсами, поскольку у банка возникает кредитный риск не на полную номинальную стоимость таких обязательств, а лишь на потенциальную стоимость замещения потока денежных средств (по договорам с положительной стоимостью) в случае невыполнения партнерами по договорам своих обязательств. Размеры балансовых эквивалентов зависят от срока договора и курсов валют, являющихся основой тех или иных финансовых инструментов.</w:t>
      </w:r>
    </w:p>
    <w:p>
      <w:pPr>
        <w:spacing w:after="60"/>
        <w:ind w:firstLine="567"/>
        <w:jc w:val="both"/>
      </w:pPr>
      <w:r>
        <w:rPr>
          <w:rFonts w:ascii="Arial" w:cs="Arial" w:eastAsia="Arial" w:hAnsi="Arial"/>
          <w:sz w:val="24"/>
          <w:szCs w:val="24"/>
        </w:rPr>
        <w:t xml:space="preserve">Для всех договоров, связанных с курсами валют, банки могут использовать метод, согласно которому потенциальный риск рассчитывается по каждому типу договоров, независимо от того, какова на данный момент его рыночная стоимость. Для расчета размера балансового эквивалента необходимо умножить базовую (номинальную) стоимость каждого инструмента на один из конверсионных коэффициентов (фактор кредитной конверсии), установленных в зависимости от характера инструмента и срока его действия.</w:t>
      </w:r>
    </w:p>
    <w:p>
      <w:pPr>
        <w:spacing w:after="120"/>
        <w:ind w:firstLine="567"/>
        <w:jc w:val="both"/>
      </w:pPr>
      <w:r>
        <w:rPr>
          <w:rFonts w:ascii="Arial" w:cs="Arial" w:eastAsia="Arial" w:hAnsi="Arial"/>
          <w:sz w:val="24"/>
          <w:szCs w:val="24"/>
        </w:rPr>
        <w:t xml:space="preserve">31. Настоящей Инструкцией определяются следующие процентные размеры факторов кредитной конверсии для забалансовых обязательств, связанных с курсами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Срок действия договоров</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Фактор кредитной конверсии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200" w:before="200"/>
        <w:jc w:val="center"/>
      </w:pPr>
      <w:r>
        <w:rPr>
          <w:rFonts w:ascii="Arial" w:cs="Arial" w:eastAsia="Arial" w:hAnsi="Arial"/>
          <w:b/>
          <w:bCs/>
          <w:sz w:val="24"/>
          <w:szCs w:val="24"/>
        </w:rPr>
        <w:t xml:space="preserve">6. Оценка по степени риска активов и забалансовых обязательств банка, имеющего "исламское окно"</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x9cbakpsim0saps7kuegv">
        <w:r>
          <w:rPr>
            <w:rFonts w:ascii="Arial" w:cs="Arial" w:eastAsia="Arial" w:hAnsi="Arial"/>
            <w:i/>
            <w:iCs/>
            <w:color w:val="1D4ED8"/>
            <w:sz w:val="24"/>
            <w:szCs w:val="24"/>
            <w:u w:val="single"/>
          </w:rPr>
          <w:t xml:space="preserve">31 мая 2017 года № 21/11)</w:t>
        </w:r>
      </w:hyperlink>
    </w:p>
    <w:p>
      <w:pPr>
        <w:spacing w:after="60"/>
        <w:ind w:firstLine="567"/>
        <w:jc w:val="both"/>
      </w:pPr>
      <w:r>
        <w:rPr>
          <w:rFonts w:ascii="Arial" w:cs="Arial" w:eastAsia="Arial" w:hAnsi="Arial"/>
          <w:sz w:val="24"/>
          <w:szCs w:val="24"/>
        </w:rPr>
        <w:t xml:space="preserve">32. При расчете коэффициентов достаточности (адекватности) капитала банка, имеющего "исламское окно" применятся методология оценки по степени риска балансовых активов и забалансовых обязательств банка, размещенных/принятых в соответствии с исламскими принципами банковского дела и финансирования, определенная настоящей Инструкцией.</w:t>
      </w:r>
    </w:p>
    <w:p>
      <w:pPr>
        <w:spacing w:after="60"/>
        <w:ind w:firstLine="567"/>
        <w:jc w:val="both"/>
      </w:pPr>
      <w:r>
        <w:rPr>
          <w:rFonts w:ascii="Arial" w:cs="Arial" w:eastAsia="Arial" w:hAnsi="Arial"/>
          <w:sz w:val="24"/>
          <w:szCs w:val="24"/>
        </w:rPr>
        <w:t xml:space="preserve">33. Активы и забалансовые обязательства, размещенные/принятые банком, имеющим "исламское окно", по "традиционным" принципам банковского дела и финансирования взвешиваются по степени риска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для коммерческих банков.</w:t>
      </w:r>
    </w:p>
    <w:p>
      <w:pPr>
        <w:spacing w:after="200" w:before="200"/>
        <w:jc w:val="center"/>
      </w:pPr>
      <w:r>
        <w:rPr>
          <w:rFonts w:ascii="Arial" w:cs="Arial" w:eastAsia="Arial" w:hAnsi="Arial"/>
          <w:b/>
          <w:bCs/>
          <w:sz w:val="24"/>
          <w:szCs w:val="24"/>
        </w:rPr>
        <w:t xml:space="preserve">7. Порядок заполнения и представления отчетности о выполнении стандартов достаточности (адекватности) капитала для банка, имеющего "исламское окно"</w:t>
      </w:r>
    </w:p>
    <w:p>
      <w:pPr>
        <w:spacing w:after="60"/>
        <w:ind w:firstLine="567"/>
        <w:jc w:val="both"/>
      </w:pPr>
      <w:r>
        <w:rPr>
          <w:rFonts w:ascii="Arial" w:cs="Arial" w:eastAsia="Arial" w:hAnsi="Arial"/>
          <w:sz w:val="24"/>
          <w:szCs w:val="24"/>
        </w:rPr>
        <w:t xml:space="preserve">34. Отчетность о выполнении стандартов достаточности (адекватности) капитала с учетом операций, осуществляемых банком в соответствии с исламскими принципами банковского дела и финансирования, составляется в соответствии с требованиями </w:t>
      </w:r>
      <w:r>
        <w:rPr>
          <w:rFonts w:ascii="Arial" w:cs="Arial" w:eastAsia="Arial" w:hAnsi="Arial"/>
          <w:sz w:val="24"/>
          <w:szCs w:val="24"/>
        </w:rPr>
        <w:t xml:space="preserve">Инструкции</w:t>
      </w:r>
      <w:r>
        <w:rPr>
          <w:rFonts w:ascii="Arial" w:cs="Arial" w:eastAsia="Arial" w:hAnsi="Arial"/>
          <w:sz w:val="24"/>
          <w:szCs w:val="24"/>
        </w:rPr>
        <w:t xml:space="preserve"> для коммерческих банков и с учетом особенностей, оговоренных в настоящей Инструкции.</w:t>
      </w:r>
    </w:p>
    <w:p>
      <w:pPr>
        <w:spacing w:after="60"/>
        <w:ind w:firstLine="567"/>
        <w:jc w:val="both"/>
      </w:pPr>
      <w:r>
        <w:rPr>
          <w:rFonts w:ascii="Arial" w:cs="Arial" w:eastAsia="Arial" w:hAnsi="Arial"/>
          <w:sz w:val="24"/>
          <w:szCs w:val="24"/>
        </w:rPr>
        <w:t xml:space="preserve">35. При составлении отчетности о выполнении стандартов достаточности (адекватности) капитала:</w:t>
      </w:r>
    </w:p>
    <w:p>
      <w:pPr>
        <w:spacing w:after="60"/>
        <w:ind w:firstLine="567"/>
        <w:jc w:val="both"/>
      </w:pPr>
      <w:r>
        <w:rPr>
          <w:rFonts w:ascii="Arial" w:cs="Arial" w:eastAsia="Arial" w:hAnsi="Arial"/>
          <w:sz w:val="24"/>
          <w:szCs w:val="24"/>
        </w:rPr>
        <w:t xml:space="preserve">- балансовые активы банка, имеющего "исламское окно", размещенные в соответствии с исламскими принципами банковского дела и финансирования, должны отражаться в разделах 15.А-15.В Периодического регулятивного банковского отчета;</w:t>
      </w:r>
    </w:p>
    <w:p>
      <w:pPr>
        <w:spacing w:after="60"/>
        <w:ind w:firstLine="567"/>
        <w:jc w:val="both"/>
      </w:pPr>
      <w:r>
        <w:rPr>
          <w:rFonts w:ascii="Arial" w:cs="Arial" w:eastAsia="Arial" w:hAnsi="Arial"/>
          <w:sz w:val="24"/>
          <w:szCs w:val="24"/>
        </w:rPr>
        <w:t xml:space="preserve">- все забалансовые обязательства (включая краткосрочные самоликвидирующиеся забалансовые обязательства), привлеченные в соответствии с исламскими принципами банковского дела и финансирования, должны отражаться в разделе 15.Г Периодического регулятивного банковского отчета.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ноября 2011 года N 67/8)</w:t>
      </w:r>
    </w:p>
    <w:p>
      <w:pPr>
        <w:spacing w:after="60"/>
        <w:ind w:firstLine="567"/>
        <w:jc w:val="both"/>
      </w:pPr>
      <w:r>
        <w:rPr>
          <w:rFonts w:ascii="Arial" w:cs="Arial" w:eastAsia="Arial" w:hAnsi="Arial"/>
          <w:sz w:val="24"/>
          <w:szCs w:val="24"/>
        </w:rPr>
        <w:t xml:space="preserve">36. Сведения о выполнении стандартов достаточности (адекватности) капитала и их расчет, представляются банком, имеющим "исламское окно", в соответствии с требованиями </w:t>
      </w:r>
      <w:r>
        <w:rPr>
          <w:rFonts w:ascii="Arial" w:cs="Arial" w:eastAsia="Arial" w:hAnsi="Arial"/>
          <w:sz w:val="24"/>
          <w:szCs w:val="24"/>
        </w:rPr>
        <w:t xml:space="preserve">Инструкции</w:t>
      </w:r>
      <w:r>
        <w:rPr>
          <w:rFonts w:ascii="Arial" w:cs="Arial" w:eastAsia="Arial" w:hAnsi="Arial"/>
          <w:sz w:val="24"/>
          <w:szCs w:val="24"/>
        </w:rPr>
        <w:t xml:space="preserve"> для коммерческих банков и в составе Периодического регулятивного банковского отчета.</w:t>
      </w:r>
    </w:p>
    <w:p>
      <w:pPr>
        <w:spacing w:after="200" w:before="200"/>
        <w:jc w:val="center"/>
      </w:pPr>
      <w:r>
        <w:rPr>
          <w:rFonts w:ascii="Arial" w:cs="Arial" w:eastAsia="Arial" w:hAnsi="Arial"/>
          <w:b/>
          <w:bCs/>
          <w:sz w:val="24"/>
          <w:szCs w:val="24"/>
        </w:rPr>
        <w:t xml:space="preserve">8. Дивиденды</w:t>
      </w:r>
    </w:p>
    <w:p>
      <w:pPr>
        <w:spacing w:after="60"/>
        <w:ind w:firstLine="567"/>
        <w:jc w:val="both"/>
      </w:pPr>
      <w:r>
        <w:rPr>
          <w:rFonts w:ascii="Arial" w:cs="Arial" w:eastAsia="Arial" w:hAnsi="Arial"/>
          <w:sz w:val="24"/>
          <w:szCs w:val="24"/>
        </w:rPr>
        <w:t xml:space="preserve">37. Дивиденды - это часть чистой прибыли получаемой банком и распределяемой между акционерами согласно законодательству.</w:t>
      </w:r>
    </w:p>
    <w:p>
      <w:pPr>
        <w:spacing w:after="60"/>
        <w:ind w:firstLine="567"/>
        <w:jc w:val="both"/>
      </w:pPr>
      <w:r>
        <w:rPr>
          <w:rFonts w:ascii="Arial" w:cs="Arial" w:eastAsia="Arial" w:hAnsi="Arial"/>
          <w:sz w:val="24"/>
          <w:szCs w:val="24"/>
        </w:rPr>
        <w:t xml:space="preserve">38. Правление банка (исполнительный орган) на основании аудиторского заключения должно представить Совету Директоров банка и собранию акционеров для рассмотрения и соответствующей оценки анализ, как минимум, следующего:</w:t>
      </w:r>
    </w:p>
    <w:p>
      <w:pPr>
        <w:spacing w:after="60"/>
        <w:ind w:firstLine="567"/>
        <w:jc w:val="both"/>
      </w:pPr>
      <w:r>
        <w:rPr>
          <w:rFonts w:ascii="Arial" w:cs="Arial" w:eastAsia="Arial" w:hAnsi="Arial"/>
          <w:sz w:val="24"/>
          <w:szCs w:val="24"/>
        </w:rPr>
        <w:t xml:space="preserve">а) достаточности (адекватности) капитала и тенденции его изменения;</w:t>
      </w:r>
    </w:p>
    <w:p>
      <w:pPr>
        <w:spacing w:after="60"/>
        <w:ind w:firstLine="567"/>
        <w:jc w:val="both"/>
      </w:pPr>
      <w:r>
        <w:rPr>
          <w:rFonts w:ascii="Arial" w:cs="Arial" w:eastAsia="Arial" w:hAnsi="Arial"/>
          <w:sz w:val="24"/>
          <w:szCs w:val="24"/>
        </w:rPr>
        <w:t xml:space="preserve">б) выполнения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в) номинального и реального уровней доходов банка (с учетом уровня инфляции) и тенденции их изменения;</w:t>
      </w:r>
    </w:p>
    <w:p>
      <w:pPr>
        <w:spacing w:after="60"/>
        <w:ind w:firstLine="567"/>
        <w:jc w:val="both"/>
      </w:pPr>
      <w:r>
        <w:rPr>
          <w:rFonts w:ascii="Arial" w:cs="Arial" w:eastAsia="Arial" w:hAnsi="Arial"/>
          <w:sz w:val="24"/>
          <w:szCs w:val="24"/>
        </w:rPr>
        <w:t xml:space="preserve">г) перспективы роста банка;</w:t>
      </w:r>
    </w:p>
    <w:p>
      <w:pPr>
        <w:spacing w:after="60"/>
        <w:ind w:firstLine="567"/>
        <w:jc w:val="both"/>
      </w:pPr>
      <w:r>
        <w:rPr>
          <w:rFonts w:ascii="Arial" w:cs="Arial" w:eastAsia="Arial" w:hAnsi="Arial"/>
          <w:sz w:val="24"/>
          <w:szCs w:val="24"/>
        </w:rPr>
        <w:t xml:space="preserve">д) влияния экономических условий и уровня инфляции.</w:t>
      </w:r>
    </w:p>
    <w:p>
      <w:pPr>
        <w:spacing w:after="60"/>
        <w:ind w:firstLine="567"/>
        <w:jc w:val="both"/>
      </w:pPr>
      <w:r>
        <w:rPr>
          <w:rFonts w:ascii="Arial" w:cs="Arial" w:eastAsia="Arial" w:hAnsi="Arial"/>
          <w:sz w:val="24"/>
          <w:szCs w:val="24"/>
        </w:rPr>
        <w:t xml:space="preserve">39. Дивиденды по акциям начисляются и выплачиваются по итогам финансового года.</w:t>
      </w:r>
    </w:p>
    <w:p>
      <w:pPr>
        <w:spacing w:after="60"/>
        <w:ind w:firstLine="567"/>
        <w:jc w:val="both"/>
      </w:pPr>
      <w:r>
        <w:rPr>
          <w:rFonts w:ascii="Arial" w:cs="Arial" w:eastAsia="Arial" w:hAnsi="Arial"/>
          <w:sz w:val="24"/>
          <w:szCs w:val="24"/>
        </w:rPr>
        <w:t xml:space="preserve">40. Банк обязан получить разрешение Национального банка на выплату дивидендов акционерам банка.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 К документам должны быть приложены планы банка по срокам выплаты дивидендов и расчеты по соблюдению экономических нормативов, а также индекса "буфер капитала", рассчитанного с учетом планируемой выплаты суммы дивидендов.</w:t>
      </w:r>
    </w:p>
    <w:p>
      <w:pPr>
        <w:spacing w:after="60"/>
        <w:ind w:firstLine="567"/>
        <w:jc w:val="both"/>
      </w:pPr>
      <w:r>
        <w:rPr>
          <w:rFonts w:ascii="Arial" w:cs="Arial" w:eastAsia="Arial" w:hAnsi="Arial"/>
          <w:sz w:val="24"/>
          <w:szCs w:val="24"/>
        </w:rPr>
        <w:t xml:space="preserve">При наличии угрозы стабильности банка Национальный банк может запретить либо установить ограничения на выплату дивидендов, если:</w:t>
      </w:r>
    </w:p>
    <w:p>
      <w:pPr>
        <w:spacing w:after="60"/>
        <w:ind w:firstLine="567"/>
        <w:jc w:val="both"/>
      </w:pPr>
      <w:r>
        <w:rPr>
          <w:rFonts w:ascii="Arial" w:cs="Arial" w:eastAsia="Arial" w:hAnsi="Arial"/>
          <w:sz w:val="24"/>
          <w:szCs w:val="24"/>
        </w:rPr>
        <w:t xml:space="preserve">а) выплата дивидендов приведет к нарушению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б) значения коэффициентов достаточности (адекватности) капитала банка будут ниже минимальных пределов, установленных Национальным банком для данного банка;</w:t>
      </w:r>
    </w:p>
    <w:p>
      <w:pPr>
        <w:spacing w:after="60"/>
        <w:ind w:firstLine="567"/>
        <w:jc w:val="both"/>
      </w:pPr>
      <w:r>
        <w:rPr>
          <w:rFonts w:ascii="Arial" w:cs="Arial" w:eastAsia="Arial" w:hAnsi="Arial"/>
          <w:sz w:val="24"/>
          <w:szCs w:val="24"/>
        </w:rPr>
        <w:t xml:space="preserve">в) индекс "буфер капитала", после выплаты дивидендов, будет ниже минимальных значений, установленных Национальным банком;</w:t>
      </w:r>
    </w:p>
    <w:p>
      <w:pPr>
        <w:spacing w:after="60"/>
        <w:ind w:firstLine="567"/>
        <w:jc w:val="both"/>
      </w:pPr>
      <w:r>
        <w:rPr>
          <w:rFonts w:ascii="Arial" w:cs="Arial" w:eastAsia="Arial" w:hAnsi="Arial"/>
          <w:sz w:val="24"/>
          <w:szCs w:val="24"/>
        </w:rPr>
        <w:t xml:space="preserve">г)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60"/>
        <w:ind w:firstLine="567"/>
        <w:jc w:val="both"/>
      </w:pPr>
      <w:r>
        <w:rPr>
          <w:rFonts w:ascii="Arial" w:cs="Arial" w:eastAsia="Arial" w:hAnsi="Arial"/>
          <w:sz w:val="24"/>
          <w:szCs w:val="24"/>
        </w:rPr>
        <w:t xml:space="preserve">д) банк имеет непокрытые убытки за предыдущие годы и/или за отчетный год;</w:t>
      </w:r>
    </w:p>
    <w:p>
      <w:pPr>
        <w:spacing w:after="60"/>
        <w:ind w:firstLine="567"/>
        <w:jc w:val="both"/>
      </w:pPr>
      <w:r>
        <w:rPr>
          <w:rFonts w:ascii="Arial" w:cs="Arial" w:eastAsia="Arial" w:hAnsi="Arial"/>
          <w:sz w:val="24"/>
          <w:szCs w:val="24"/>
        </w:rPr>
        <w:t xml:space="preserve">е) это приведет к ухудшению финансового состояния банка;</w:t>
      </w:r>
    </w:p>
    <w:p>
      <w:pPr>
        <w:spacing w:after="60"/>
        <w:ind w:firstLine="567"/>
        <w:jc w:val="both"/>
      </w:pPr>
      <w:r>
        <w:rPr>
          <w:rFonts w:ascii="Arial" w:cs="Arial" w:eastAsia="Arial" w:hAnsi="Arial"/>
          <w:sz w:val="24"/>
          <w:szCs w:val="24"/>
        </w:rPr>
        <w:t xml:space="preserve">ж) в других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Банк не вправе принимать решение о выплате (объявлении) дивидендов по акциям,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w:t>
      </w:r>
    </w:p>
    <w:p>
      <w:pPr>
        <w:spacing w:after="60"/>
        <w:ind w:firstLine="567"/>
        <w:jc w:val="both"/>
      </w:pPr>
      <w:r>
        <w:rPr>
          <w:rFonts w:ascii="Arial" w:cs="Arial" w:eastAsia="Arial" w:hAnsi="Arial"/>
          <w:sz w:val="24"/>
          <w:szCs w:val="24"/>
        </w:rPr>
        <w:t xml:space="preserve">Банк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bz_3ykhuh5j08efg0u0q">
        <w:r>
          <w:rPr>
            <w:rFonts w:ascii="Arial" w:cs="Arial" w:eastAsia="Arial" w:hAnsi="Arial"/>
            <w:i/>
            <w:iCs/>
            <w:color w:val="1D4ED8"/>
            <w:sz w:val="24"/>
            <w:szCs w:val="24"/>
            <w:u w:val="single"/>
          </w:rPr>
          <w:t xml:space="preserve">10 апреля 2019 года № 2019-П-12/19-3)</w:t>
        </w:r>
      </w:hyperlink>
    </w:p>
    <w:p>
      <w:pPr>
        <w:spacing w:after="200" w:before="200"/>
        <w:jc w:val="center"/>
      </w:pPr>
      <w:r>
        <w:rPr>
          <w:rFonts w:ascii="Arial" w:cs="Arial" w:eastAsia="Arial" w:hAnsi="Arial"/>
          <w:b/>
          <w:bCs/>
          <w:sz w:val="24"/>
          <w:szCs w:val="24"/>
        </w:rPr>
        <w:t xml:space="preserve">9. Порядок заполнения отчетности о выполнении стандартов достаточности (адекватности) капитала</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ноября 2011 года N 67/8)</w:t>
      </w:r>
    </w:p>
    <w:p>
      <w:pPr>
        <w:spacing w:after="60"/>
        <w:ind w:firstLine="567"/>
        <w:jc w:val="both"/>
      </w:pPr>
      <w:r>
        <w:rPr>
          <w:rFonts w:ascii="Arial" w:cs="Arial" w:eastAsia="Arial" w:hAnsi="Arial"/>
          <w:sz w:val="24"/>
          <w:szCs w:val="24"/>
        </w:rPr>
        <w:t xml:space="preserve">41. Отчетность о выполнении стандартов достаточности (адекватности) капитала составляется на основе бухгалтерского баланса банка согласно Плану счетов бухгалтерского учета в исламских банках и финансово-кредитных организациях, лицензируемых Национальным банком.</w:t>
      </w:r>
    </w:p>
    <w:p>
      <w:pPr>
        <w:spacing w:after="60"/>
        <w:ind w:firstLine="567"/>
        <w:jc w:val="both"/>
      </w:pPr>
      <w:r>
        <w:rPr>
          <w:rFonts w:ascii="Arial" w:cs="Arial" w:eastAsia="Arial" w:hAnsi="Arial"/>
          <w:sz w:val="24"/>
          <w:szCs w:val="24"/>
        </w:rPr>
        <w:t xml:space="preserve">42. Статьи отчетности делятся на укрупненные и детализированные (например, укрупненная статья 20 делится на две детализированные 20.1 и 20.2). В детализированных статьях указываются значения балансовых активов (забалансовых обязательств), в зависимости от их принадлежности к той или иной категории кредитного риска. Значения, указываемые в укрупненных статьях, являются суммами значений в детализированных статьях.</w:t>
      </w:r>
    </w:p>
    <w:p>
      <w:pPr>
        <w:spacing w:after="60"/>
        <w:ind w:firstLine="567"/>
        <w:jc w:val="both"/>
      </w:pPr>
      <w:r>
        <w:rPr>
          <w:rFonts w:ascii="Arial" w:cs="Arial" w:eastAsia="Arial" w:hAnsi="Arial"/>
          <w:sz w:val="24"/>
          <w:szCs w:val="24"/>
        </w:rPr>
        <w:t xml:space="preserve">43. Наименования большинства статей отчетности соответствуют наименованиям отдельных счетов или групп счетов Плана счетов бухгалтерского учета в исламских банках и финансово-кредитных организациях, лицензируемых Национальным банком. Однако заполнение отдельных статей имеет некоторые особенности. Так, в каждой статье части "Портфель ценных бумаг" (статьи 130-230) указывается суммарная балансовая стоимость соответствующего типа ценных бумаг, независимо от их классификации. Например, в статье 130 "Ценные бумаги, выпущенные Правительством Кыргызской Республики и/или Национальным банком" указывается сумма балансовой стоимости ценных бумаг, выпущенных Правительством Кыргызской Республики и/или Национальным банком в соответствии с исламскими принципами банковского дела и финансирования, классифицируемых и как ценные бумаги, удерживаемые до погашения, и как торговые ценные бумаги, и как ценные бумаги, годные для продажи.</w:t>
      </w:r>
    </w:p>
    <w:p>
      <w:pPr>
        <w:spacing w:after="60"/>
        <w:ind w:firstLine="567"/>
        <w:jc w:val="both"/>
      </w:pPr>
      <w:r>
        <w:rPr>
          <w:rFonts w:ascii="Arial" w:cs="Arial" w:eastAsia="Arial" w:hAnsi="Arial"/>
          <w:sz w:val="24"/>
          <w:szCs w:val="24"/>
        </w:rPr>
        <w:t xml:space="preserve">В каждой статье части "Финансирование" (статьи 240-370) указывается сумма задолженности по соответствующему виду финансирования в соответствии с исламскими принципами банковского дела и финансирования за вычетом дисконта.</w:t>
      </w:r>
    </w:p>
    <w:p>
      <w:pPr>
        <w:spacing w:after="60" w:before="240"/>
        <w:ind w:firstLine="567"/>
        <w:jc w:val="both"/>
      </w:pPr>
      <w:r>
        <w:rPr>
          <w:rFonts w:ascii="Arial" w:cs="Arial" w:eastAsia="Arial" w:hAnsi="Arial"/>
          <w:sz w:val="24"/>
          <w:szCs w:val="24"/>
        </w:rPr>
        <w:t xml:space="preserve">(1) Утверждена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N 18/2 от 21.07.04 г. и зарегистрирована МЮ КР за N 94-04 от 23.08.04 г.</w:t>
      </w:r>
    </w:p>
    <w:p>
      <w:pPr>
        <w:spacing w:after="60"/>
        <w:ind w:firstLine="567"/>
        <w:jc w:val="both"/>
      </w:pPr>
      <w:r>
        <w:rPr>
          <w:rFonts w:ascii="Arial" w:cs="Arial" w:eastAsia="Arial" w:hAnsi="Arial"/>
          <w:sz w:val="24"/>
          <w:szCs w:val="24"/>
        </w:rPr>
        <w:t xml:space="preserve">(2) Рейтинговые отметки следуют методологии, используемой Standard &amp; Poor's. Можно также использовать эквивалентные рейтинги, присвоенные другими известными рейтинговыми агентствами.</w:t>
      </w:r>
    </w:p>
    <w:p>
      <w:pPr>
        <w:spacing w:after="60"/>
        <w:ind w:firstLine="567"/>
        <w:jc w:val="both"/>
      </w:pPr>
      <w:r>
        <w:rPr>
          <w:rFonts w:ascii="Arial" w:cs="Arial" w:eastAsia="Arial" w:hAnsi="Arial"/>
          <w:sz w:val="24"/>
          <w:szCs w:val="24"/>
        </w:rPr>
        <w:t xml:space="preserve">(3) Требования к Центральным (Национальным) банкам и правительствам государств, являющихся членами ОЭСР (ценные бумаги, выпущенные правительствами государств, являющихся членами ОЭСР и другие требования) взвешиваются по степени кредитного риска - 0%.</w:t>
      </w:r>
    </w:p>
    <w:p>
      <w:pPr>
        <w:spacing w:after="60"/>
        <w:ind w:firstLine="567"/>
        <w:jc w:val="both"/>
      </w:pPr>
      <w:r>
        <w:rPr>
          <w:rFonts w:ascii="Arial" w:cs="Arial" w:eastAsia="Arial" w:hAnsi="Arial"/>
          <w:sz w:val="24"/>
          <w:szCs w:val="24"/>
        </w:rPr>
        <w:t xml:space="preserve">(4) За исключением банков и ФКУ, указанных в категории 3 (см. пункт 24).</w:t>
      </w:r>
    </w:p>
    <w:p>
      <w:pPr>
        <w:spacing w:after="60"/>
        <w:ind w:firstLine="567"/>
        <w:jc w:val="both"/>
      </w:pPr>
      <w:r>
        <w:rPr>
          <w:rFonts w:ascii="Arial" w:cs="Arial" w:eastAsia="Arial" w:hAnsi="Arial"/>
          <w:sz w:val="24"/>
          <w:szCs w:val="24"/>
        </w:rPr>
        <w:t xml:space="preserve">(5) К государствам, являющимся членами Организации Экономического Сотрудничества и Развития (ОЭСР), относятся: Австралия, Австрия, Бельгия, Великобритания, Венгрия, Германия, Греция, Дания, Ирландия, Исландия, Испания, Италия, Канада, Корея, Люксембург, Мексика, Нидерланды, Новая Зеландия, Норвегия, Польша, Португалия, Республика Словакия, Соединенные Штаты Америки, Турция, Финляндия, Франция, Швеция, Швейцария, Чехия, Япония.</w:t>
      </w:r>
    </w:p>
    <w:p>
      <w:pPr>
        <w:spacing w:after="60"/>
        <w:ind w:firstLine="567"/>
        <w:jc w:val="both"/>
      </w:pPr>
      <w:r>
        <w:rPr>
          <w:rFonts w:ascii="Arial" w:cs="Arial" w:eastAsia="Arial" w:hAnsi="Arial"/>
          <w:sz w:val="24"/>
          <w:szCs w:val="24"/>
        </w:rPr>
        <w:t xml:space="preserve">(6) Данный перечень может быть дополнен Национальным банком.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bhyroqr6liijeqwrhqp">
      <w:r>
        <w:rPr>
          <w:rFonts w:ascii="Arial" w:cs="Arial" w:eastAsia="Arial" w:hAnsi="Arial"/>
          <w:color w:val="132D3F"/>
          <w:sz w:val="16"/>
          <w:szCs w:val="16"/>
          <w:u w:val="single"/>
        </w:rPr>
        <w:t xml:space="preserve">dalil.kg/document/302285</w:t>
      </w:r>
    </w:hyperlink>
  </w:p>
  <w:p>
    <w:pPr>
      <w:spacing w:after="0" w:before="40"/>
      <w:jc w:val="center"/>
    </w:pPr>
    <w:hyperlink w:history="1" r:id="rIdp1_uyhdubaxe-1kmps_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_axxdkaoxvlqvtlht-l" Type="http://schemas.openxmlformats.org/officeDocument/2006/relationships/hyperlink" Target="https://dalil.kg/document/302440" TargetMode="External"/><Relationship Id="rIdl8_-afy-yne5kuah5irqb" Type="http://schemas.openxmlformats.org/officeDocument/2006/relationships/hyperlink" Target="https://dalil.kg/document/302520" TargetMode="External"/><Relationship Id="rIdwrz4tt158ilgfoc588ias" Type="http://schemas.openxmlformats.org/officeDocument/2006/relationships/hyperlink" Target="https://dalil.kg/document/302954" TargetMode="External"/><Relationship Id="rIdc1demvxzo6prksf6cg-ya" Type="http://schemas.openxmlformats.org/officeDocument/2006/relationships/hyperlink" Target="https://dalil.kg/document/800007" TargetMode="External"/><Relationship Id="rIdulbhcedeojmqkfolxkpkr" Type="http://schemas.openxmlformats.org/officeDocument/2006/relationships/hyperlink" Target="https://dalil.kg/document/303062" TargetMode="External"/><Relationship Id="rIdazjduqh-x8nqr7i7dnokm" Type="http://schemas.openxmlformats.org/officeDocument/2006/relationships/hyperlink" Target="https://dalil.kg/document/303063" TargetMode="External"/><Relationship Id="rIdnsx3uyzr5omjslqp1chqv" Type="http://schemas.openxmlformats.org/officeDocument/2006/relationships/hyperlink" Target="https://dalil.kg/document/303064" TargetMode="External"/><Relationship Id="rIdbmbrohj8b7ykwfu5t6hkt" Type="http://schemas.openxmlformats.org/officeDocument/2006/relationships/hyperlink" Target="https://dalil.kg/document/800527" TargetMode="External"/><Relationship Id="rIdhywqirmo7uswemusindka" Type="http://schemas.openxmlformats.org/officeDocument/2006/relationships/hyperlink" Target="https://dalil.kg/document/302954" TargetMode="External"/><Relationship Id="rId51oxlwarah7tqfqfhturw" Type="http://schemas.openxmlformats.org/officeDocument/2006/relationships/hyperlink" Target="https://dalil.kg/document/303064" TargetMode="External"/><Relationship Id="rIdn813li1mw5blx1bwtt93p" Type="http://schemas.openxmlformats.org/officeDocument/2006/relationships/hyperlink" Target="https://dalil.kg/document/303064" TargetMode="External"/><Relationship Id="rIdww5iltzwqecmsleypsrij" Type="http://schemas.openxmlformats.org/officeDocument/2006/relationships/hyperlink" Target="https://dalil.kg/document/800527" TargetMode="External"/><Relationship Id="rIdlw2yqiptyzkmfyastlwea" Type="http://schemas.openxmlformats.org/officeDocument/2006/relationships/hyperlink" Target="https://dalil.kg/document/800527" TargetMode="External"/><Relationship Id="rIdokgnshgwdrp_umaosm3tl" Type="http://schemas.openxmlformats.org/officeDocument/2006/relationships/hyperlink" Target="https://dalil.kg/document/800527" TargetMode="External"/><Relationship Id="rIdpdn2cp-e6bwqatzj_z1bv" Type="http://schemas.openxmlformats.org/officeDocument/2006/relationships/hyperlink" Target="https://dalil.kg/document/303064" TargetMode="External"/><Relationship Id="rIdwys4l0rg7mco4rnnn_buf" Type="http://schemas.openxmlformats.org/officeDocument/2006/relationships/hyperlink" Target="https://dalil.kg/document/303064" TargetMode="External"/><Relationship Id="rIdvoxalan177y4vm7zpjawy" Type="http://schemas.openxmlformats.org/officeDocument/2006/relationships/hyperlink" Target="https://dalil.kg/document/800527" TargetMode="External"/><Relationship Id="rIdcpj6e4obeah8_w2woscp2" Type="http://schemas.openxmlformats.org/officeDocument/2006/relationships/hyperlink" Target="https://dalil.kg/document/303063" TargetMode="External"/><Relationship Id="rIdva_5eaprch7b9lxiirify" Type="http://schemas.openxmlformats.org/officeDocument/2006/relationships/hyperlink" Target="https://dalil.kg/document/303063" TargetMode="External"/><Relationship Id="rIdgkpyfdqp0ofm9t2hevvx6" Type="http://schemas.openxmlformats.org/officeDocument/2006/relationships/hyperlink" Target="https://dalil.kg/document/800527" TargetMode="External"/><Relationship Id="rId516zcbkgfvm0otllqspf1" Type="http://schemas.openxmlformats.org/officeDocument/2006/relationships/hyperlink" Target="https://dalil.kg/document/303063" TargetMode="External"/><Relationship Id="rIdlgxwavrpf4nrxcdr-ge5y" Type="http://schemas.openxmlformats.org/officeDocument/2006/relationships/hyperlink" Target="https://dalil.kg/document/800527" TargetMode="External"/><Relationship Id="rIdy5yultpfotytik7aemds3" Type="http://schemas.openxmlformats.org/officeDocument/2006/relationships/hyperlink" Target="https://dalil.kg/document/303064" TargetMode="External"/><Relationship Id="rIdx9cbakpsim0saps7kuegv" Type="http://schemas.openxmlformats.org/officeDocument/2006/relationships/hyperlink" Target="https://dalil.kg/document/303064" TargetMode="External"/><Relationship Id="rIddbz_3ykhuh5j08efg0u0q" Type="http://schemas.openxmlformats.org/officeDocument/2006/relationships/hyperlink" Target="https://dalil.kg/document/800527"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bhyroqr6liijeqwrhqp" Type="http://schemas.openxmlformats.org/officeDocument/2006/relationships/hyperlink" Target="https://dalil.kg/document/302285" TargetMode="External"/><Relationship Id="rIdp1_uyhdubaxe-1kmps_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2026-09-24T17:57:13.166Z</dcterms:created>
  <dcterms:modified xsi:type="dcterms:W3CDTF">2026-09-24T17:57:13.166Z</dcterms:modified>
</cp:coreProperties>
</file>

<file path=docProps/custom.xml><?xml version="1.0" encoding="utf-8"?>
<Properties xmlns="http://schemas.openxmlformats.org/officeDocument/2006/custom-properties" xmlns:vt="http://schemas.openxmlformats.org/officeDocument/2006/docPropsVTypes"/>
</file>