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k7qpc0el1nzdgl8swwy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17 февраля 2010 года №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консолидированном надзоре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d-mrbzry0rqznj1s0rmlm">
        <w:r>
          <w:rPr>
            <w:rFonts w:ascii="Arial" w:cs="Arial" w:eastAsia="Arial" w:hAnsi="Arial"/>
            <w:color w:val="1D4ED8"/>
            <w:sz w:val="24"/>
            <w:szCs w:val="24"/>
            <w:u w:val="single"/>
          </w:rPr>
          <w:t xml:space="preserve">16 ноября 2012 года N 43/1</w:t>
        </w:r>
      </w:hyperlink>
      <w:r>
        <w:rPr>
          <w:rFonts w:ascii="Arial" w:cs="Arial" w:eastAsia="Arial" w:hAnsi="Arial"/>
          <w:sz w:val="24"/>
          <w:szCs w:val="24"/>
        </w:rPr>
        <w:t xml:space="preserve">, </w:t>
      </w:r>
      <w:hyperlink w:history="1" r:id="rId5gklp5xhfyshkitrlyc9k">
        <w:r>
          <w:rPr>
            <w:rFonts w:ascii="Arial" w:cs="Arial" w:eastAsia="Arial" w:hAnsi="Arial"/>
            <w:color w:val="1D4ED8"/>
            <w:sz w:val="24"/>
            <w:szCs w:val="24"/>
            <w:u w:val="single"/>
          </w:rPr>
          <w:t xml:space="preserve">27 ноября 2014 года № 53/8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b3ylxjjnwide8sh03jxwt">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0uw4jpdk9cmi0px9yfbbz">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стандартами, принятыми Базельским Комитетом по Банковскому надзору(1) в целях осуществления надзора на консолидированной основе за деятельностью банковских групп и их аффилированных лиц.</w:t>
      </w:r>
    </w:p>
    <w:p>
      <w:pPr>
        <w:spacing w:after="120"/>
        <w:jc w:val="both"/>
      </w:pPr>
      <w:r>
        <w:rPr>
          <w:rFonts w:ascii="Arial" w:cs="Arial" w:eastAsia="Arial" w:hAnsi="Arial"/>
          <w:sz w:val="24"/>
          <w:szCs w:val="24"/>
        </w:rPr>
        <w:t xml:space="preserve">2. В целях настоящего Положения применяются следующие определения:</w:t>
      </w:r>
    </w:p>
    <w:p>
      <w:pPr>
        <w:spacing w:after="120"/>
        <w:jc w:val="both"/>
      </w:pPr>
      <w:r>
        <w:rPr>
          <w:rFonts w:ascii="Arial" w:cs="Arial" w:eastAsia="Arial" w:hAnsi="Arial"/>
          <w:b/>
          <w:bCs/>
          <w:sz w:val="24"/>
          <w:szCs w:val="24"/>
        </w:rPr>
        <w:t xml:space="preserve">Банк</w:t>
      </w:r>
      <w:r>
        <w:rPr>
          <w:rFonts w:ascii="Arial" w:cs="Arial" w:eastAsia="Arial" w:hAnsi="Arial"/>
          <w:sz w:val="24"/>
          <w:szCs w:val="24"/>
        </w:rPr>
        <w:t xml:space="preserve"> - коммерческий банк или микрофинансовая компания, лицензируемые Национальным банком Кыргызской Республики (далее - Национальный банк), или Государственный банк развития Кыргызской Республики.</w:t>
      </w:r>
    </w:p>
    <w:p>
      <w:pPr>
        <w:spacing w:after="120"/>
        <w:jc w:val="both"/>
      </w:pPr>
      <w:r>
        <w:rPr>
          <w:rFonts w:ascii="Arial" w:cs="Arial" w:eastAsia="Arial" w:hAnsi="Arial"/>
          <w:b/>
          <w:bCs/>
          <w:sz w:val="24"/>
          <w:szCs w:val="24"/>
        </w:rPr>
        <w:t xml:space="preserve">Аффилированные лица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значительные участники юридического лица, включая банки;</w:t>
      </w:r>
    </w:p>
    <w:p>
      <w:pPr>
        <w:spacing w:after="120"/>
        <w:jc w:val="both"/>
      </w:pPr>
      <w:r>
        <w:rPr>
          <w:rFonts w:ascii="Arial" w:cs="Arial" w:eastAsia="Arial" w:hAnsi="Arial"/>
          <w:sz w:val="24"/>
          <w:szCs w:val="24"/>
        </w:rPr>
        <w:t xml:space="preserve">- юридические лица, в которых другие юридические лица, включая банки, являются значительными участниками;</w:t>
      </w:r>
    </w:p>
    <w:p>
      <w:pPr>
        <w:spacing w:after="120"/>
        <w:jc w:val="both"/>
      </w:pPr>
      <w:r>
        <w:rPr>
          <w:rFonts w:ascii="Arial" w:cs="Arial" w:eastAsia="Arial" w:hAnsi="Arial"/>
          <w:sz w:val="24"/>
          <w:szCs w:val="24"/>
        </w:rPr>
        <w:t xml:space="preserve">- юридические лица, включая банки, в которых другие юридические лица являются значительными участниками.</w:t>
      </w:r>
    </w:p>
    <w:p>
      <w:pPr>
        <w:spacing w:after="120"/>
        <w:jc w:val="both"/>
      </w:pPr>
      <w:r>
        <w:rPr>
          <w:rFonts w:ascii="Arial" w:cs="Arial" w:eastAsia="Arial" w:hAnsi="Arial"/>
          <w:b/>
          <w:bCs/>
          <w:sz w:val="24"/>
          <w:szCs w:val="24"/>
        </w:rPr>
        <w:t xml:space="preserve">Банковская группа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группа, состоящая из банка, действующего на территории Кыргызской Республики, и его дочерних и/или зависимых компаний, а также их аффилированных лиц;</w:t>
      </w:r>
    </w:p>
    <w:p>
      <w:pPr>
        <w:spacing w:after="120"/>
        <w:jc w:val="both"/>
      </w:pPr>
      <w:r>
        <w:rPr>
          <w:rFonts w:ascii="Arial" w:cs="Arial" w:eastAsia="Arial" w:hAnsi="Arial"/>
          <w:sz w:val="24"/>
          <w:szCs w:val="24"/>
        </w:rPr>
        <w:t xml:space="preserve">- группа, состоящая из банковской холдинговой компании, созданной на территории Кыргызской Республики, одной из дочерних и/или зависимых компаний которой является банк, действующий на территории Кыргызской Республики;</w:t>
      </w:r>
    </w:p>
    <w:p>
      <w:pPr>
        <w:spacing w:after="120"/>
        <w:jc w:val="both"/>
      </w:pPr>
      <w:r>
        <w:rPr>
          <w:rFonts w:ascii="Arial" w:cs="Arial" w:eastAsia="Arial" w:hAnsi="Arial"/>
          <w:sz w:val="24"/>
          <w:szCs w:val="24"/>
        </w:rPr>
        <w:t xml:space="preserve">- группа юридических лиц, занимающихся банковской и/или финансовой деятельностью, которая также включает банк, контроль над которыми осуществляет одно и то же юридическое или физическое лицо, единолично или совместно с другими лицами.</w:t>
      </w:r>
    </w:p>
    <w:p>
      <w:pPr>
        <w:spacing w:after="120"/>
        <w:jc w:val="both"/>
      </w:pPr>
      <w:r>
        <w:rPr>
          <w:rFonts w:ascii="Arial" w:cs="Arial" w:eastAsia="Arial" w:hAnsi="Arial"/>
          <w:b/>
          <w:bCs/>
          <w:sz w:val="24"/>
          <w:szCs w:val="24"/>
        </w:rPr>
        <w:t xml:space="preserve">Банковская холдинговая компания</w:t>
      </w:r>
      <w:r>
        <w:rPr>
          <w:rFonts w:ascii="Arial" w:cs="Arial" w:eastAsia="Arial" w:hAnsi="Arial"/>
          <w:sz w:val="24"/>
          <w:szCs w:val="24"/>
        </w:rPr>
        <w:t xml:space="preserve"> - материнская компания, дочерней компанией или одной из дочерних компаний которой является банк.</w:t>
      </w:r>
    </w:p>
    <w:p>
      <w:pPr>
        <w:spacing w:after="120"/>
        <w:jc w:val="both"/>
      </w:pPr>
      <w:r>
        <w:rPr>
          <w:rFonts w:ascii="Arial" w:cs="Arial" w:eastAsia="Arial" w:hAnsi="Arial"/>
          <w:b/>
          <w:bCs/>
          <w:sz w:val="24"/>
          <w:szCs w:val="24"/>
        </w:rPr>
        <w:t xml:space="preserve">Дочерняя компания</w:t>
      </w:r>
      <w:r>
        <w:rPr>
          <w:rFonts w:ascii="Arial" w:cs="Arial" w:eastAsia="Arial" w:hAnsi="Arial"/>
          <w:sz w:val="24"/>
          <w:szCs w:val="24"/>
        </w:rPr>
        <w:t xml:space="preserve"> - юридическое лицо, контролируемое другим юридическим лицом (материнская компания). Дочерняя компания другой дочерней компании также рассматривается как дочерняя компания (первой) материнской компании.</w:t>
      </w:r>
    </w:p>
    <w:p>
      <w:pPr>
        <w:spacing w:after="120"/>
        <w:jc w:val="both"/>
      </w:pPr>
      <w:r>
        <w:rPr>
          <w:rFonts w:ascii="Arial" w:cs="Arial" w:eastAsia="Arial" w:hAnsi="Arial"/>
          <w:b/>
          <w:bCs/>
          <w:sz w:val="24"/>
          <w:szCs w:val="24"/>
        </w:rPr>
        <w:t xml:space="preserve">Дочерний банк</w:t>
      </w:r>
      <w:r>
        <w:rPr>
          <w:rFonts w:ascii="Arial" w:cs="Arial" w:eastAsia="Arial" w:hAnsi="Arial"/>
          <w:sz w:val="24"/>
          <w:szCs w:val="24"/>
        </w:rPr>
        <w:t xml:space="preserve"> - это банк, контролируемый другим банком или иным юридическим лицом (материнская компания). Дочерний банк дочернего банка также рассматривается как дочерний банк материнской компании.</w:t>
      </w:r>
    </w:p>
    <w:p>
      <w:pPr>
        <w:spacing w:after="120"/>
        <w:jc w:val="both"/>
      </w:pPr>
      <w:r>
        <w:rPr>
          <w:rFonts w:ascii="Arial" w:cs="Arial" w:eastAsia="Arial" w:hAnsi="Arial"/>
          <w:b/>
          <w:bCs/>
          <w:sz w:val="24"/>
          <w:szCs w:val="24"/>
        </w:rPr>
        <w:t xml:space="preserve">Зависимая компания</w:t>
      </w:r>
      <w:r>
        <w:rPr>
          <w:rFonts w:ascii="Arial" w:cs="Arial" w:eastAsia="Arial" w:hAnsi="Arial"/>
          <w:sz w:val="24"/>
          <w:szCs w:val="24"/>
        </w:rPr>
        <w:t xml:space="preserve"> - юридическое лицо, в котором какое-либо лицо, единолично или совместно с другим лицом, осуществляет прямое или косвенное владение или управление более двадцати процентами голосующих акций или долей в капитале любого юридического лица.</w:t>
      </w:r>
    </w:p>
    <w:p>
      <w:pPr>
        <w:spacing w:after="120"/>
        <w:jc w:val="both"/>
      </w:pPr>
      <w:r>
        <w:rPr>
          <w:rFonts w:ascii="Arial" w:cs="Arial" w:eastAsia="Arial" w:hAnsi="Arial"/>
          <w:b/>
          <w:bCs/>
          <w:sz w:val="24"/>
          <w:szCs w:val="24"/>
        </w:rPr>
        <w:t xml:space="preserve">Значительное участие</w:t>
      </w:r>
      <w:r>
        <w:rPr>
          <w:rFonts w:ascii="Arial" w:cs="Arial" w:eastAsia="Arial" w:hAnsi="Arial"/>
          <w:sz w:val="24"/>
          <w:szCs w:val="24"/>
        </w:rPr>
        <w:t xml:space="preserve"> - единоличное либо совместно с другими лицами:</w:t>
      </w:r>
    </w:p>
    <w:p>
      <w:pPr>
        <w:spacing w:after="120"/>
        <w:jc w:val="both"/>
      </w:pPr>
      <w:r>
        <w:rPr>
          <w:rFonts w:ascii="Arial" w:cs="Arial" w:eastAsia="Arial" w:hAnsi="Arial"/>
          <w:sz w:val="24"/>
          <w:szCs w:val="24"/>
        </w:rPr>
        <w:t xml:space="preserve">- прямое или косвенное владение или управление десятью и более 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 или независимо от участия в уставном капитале юридического лица, возможность осуществлять значительное влияние на руководство и/или политику данного юридического лица на основании соглашения или иным образом.</w:t>
      </w:r>
    </w:p>
    <w:p>
      <w:pPr>
        <w:spacing w:after="120"/>
        <w:jc w:val="both"/>
      </w:pPr>
      <w:r>
        <w:rPr>
          <w:rFonts w:ascii="Arial" w:cs="Arial" w:eastAsia="Arial" w:hAnsi="Arial"/>
          <w:b/>
          <w:bCs/>
          <w:sz w:val="24"/>
          <w:szCs w:val="24"/>
        </w:rPr>
        <w:t xml:space="preserve">Значительный участник</w:t>
      </w:r>
      <w:r>
        <w:rPr>
          <w:rFonts w:ascii="Arial" w:cs="Arial" w:eastAsia="Arial" w:hAnsi="Arial"/>
          <w:sz w:val="24"/>
          <w:szCs w:val="24"/>
        </w:rPr>
        <w:t xml:space="preserve"> - лицо, осуществляющее значительное участие в юридическом лице в соответствии с </w:t>
      </w:r>
      <w:hyperlink w:history="1" r:id="rIdeg6zsddnk9806elfg5bv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b/>
          <w:bCs/>
          <w:sz w:val="24"/>
          <w:szCs w:val="24"/>
        </w:rPr>
        <w:t xml:space="preserve">Инсайдеры (внутренние лица)</w:t>
      </w:r>
      <w:r>
        <w:rPr>
          <w:rFonts w:ascii="Arial" w:cs="Arial" w:eastAsia="Arial" w:hAnsi="Arial"/>
          <w:sz w:val="24"/>
          <w:szCs w:val="24"/>
        </w:rPr>
        <w:t xml:space="preserve"> - члены исполнительного органа(2), члены наблюдательного органа(3), другие должностные лица(4),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b/>
          <w:bCs/>
          <w:sz w:val="24"/>
          <w:szCs w:val="24"/>
        </w:rPr>
        <w:t xml:space="preserve">Компания</w:t>
      </w:r>
      <w:r>
        <w:rPr>
          <w:rFonts w:ascii="Arial" w:cs="Arial" w:eastAsia="Arial" w:hAnsi="Arial"/>
          <w:sz w:val="24"/>
          <w:szCs w:val="24"/>
        </w:rPr>
        <w:t xml:space="preserve"> - любое юридическое лицо.</w:t>
      </w:r>
    </w:p>
    <w:p>
      <w:pPr>
        <w:spacing w:after="120"/>
        <w:jc w:val="both"/>
      </w:pPr>
      <w:r>
        <w:rPr>
          <w:rFonts w:ascii="Arial" w:cs="Arial" w:eastAsia="Arial" w:hAnsi="Arial"/>
          <w:b/>
          <w:bCs/>
          <w:sz w:val="24"/>
          <w:szCs w:val="24"/>
        </w:rPr>
        <w:t xml:space="preserve">Контроль</w:t>
      </w:r>
      <w:r>
        <w:rPr>
          <w:rFonts w:ascii="Arial" w:cs="Arial" w:eastAsia="Arial" w:hAnsi="Arial"/>
          <w:sz w:val="24"/>
          <w:szCs w:val="24"/>
        </w:rPr>
        <w:t xml:space="preserve"> - единоличное или совместно с другими лицами:</w:t>
      </w:r>
    </w:p>
    <w:p>
      <w:pPr>
        <w:spacing w:after="120"/>
        <w:jc w:val="both"/>
      </w:pPr>
      <w:r>
        <w:rPr>
          <w:rFonts w:ascii="Arial" w:cs="Arial" w:eastAsia="Arial" w:hAnsi="Arial"/>
          <w:sz w:val="24"/>
          <w:szCs w:val="24"/>
        </w:rPr>
        <w:t xml:space="preserve">-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 возможность избирать, как минимум, половину членов наблюдательного органа юридического лица, или;</w:t>
      </w:r>
    </w:p>
    <w:p>
      <w:pPr>
        <w:spacing w:after="120"/>
        <w:jc w:val="both"/>
      </w:pPr>
      <w:r>
        <w:rPr>
          <w:rFonts w:ascii="Arial" w:cs="Arial" w:eastAsia="Arial" w:hAnsi="Arial"/>
          <w:sz w:val="24"/>
          <w:szCs w:val="24"/>
        </w:rPr>
        <w:t xml:space="preserve">-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 на основе соглашения или иным образом.</w:t>
      </w:r>
    </w:p>
    <w:p>
      <w:pPr>
        <w:spacing w:after="120"/>
        <w:jc w:val="both"/>
      </w:pPr>
      <w:r>
        <w:rPr>
          <w:rFonts w:ascii="Arial" w:cs="Arial" w:eastAsia="Arial" w:hAnsi="Arial"/>
          <w:b/>
          <w:bCs/>
          <w:sz w:val="24"/>
          <w:szCs w:val="24"/>
        </w:rPr>
        <w:t xml:space="preserve">Контролирующее лицо</w:t>
      </w:r>
      <w:r>
        <w:rPr>
          <w:rFonts w:ascii="Arial" w:cs="Arial" w:eastAsia="Arial" w:hAnsi="Arial"/>
          <w:sz w:val="24"/>
          <w:szCs w:val="24"/>
        </w:rPr>
        <w:t xml:space="preserve"> - лицо, осуществляющее контроль над юридическим лицом.</w:t>
      </w:r>
    </w:p>
    <w:p>
      <w:pPr>
        <w:spacing w:after="120"/>
        <w:jc w:val="both"/>
      </w:pPr>
      <w:r>
        <w:rPr>
          <w:rFonts w:ascii="Arial" w:cs="Arial" w:eastAsia="Arial" w:hAnsi="Arial"/>
          <w:b/>
          <w:bCs/>
          <w:sz w:val="24"/>
          <w:szCs w:val="24"/>
        </w:rPr>
        <w:t xml:space="preserve">Материнская компания</w:t>
      </w:r>
      <w:r>
        <w:rPr>
          <w:rFonts w:ascii="Arial" w:cs="Arial" w:eastAsia="Arial" w:hAnsi="Arial"/>
          <w:sz w:val="24"/>
          <w:szCs w:val="24"/>
        </w:rPr>
        <w:t xml:space="preserve"> - юридическое лицо, контролирующее другое юридическое лицо.</w:t>
      </w:r>
    </w:p>
    <w:p>
      <w:pPr>
        <w:spacing w:after="120"/>
        <w:jc w:val="both"/>
      </w:pPr>
      <w:r>
        <w:rPr>
          <w:rFonts w:ascii="Arial" w:cs="Arial" w:eastAsia="Arial" w:hAnsi="Arial"/>
          <w:b/>
          <w:bCs/>
          <w:sz w:val="24"/>
          <w:szCs w:val="24"/>
        </w:rPr>
        <w:t xml:space="preserve">Основная материнская компания</w:t>
      </w:r>
      <w:r>
        <w:rPr>
          <w:rFonts w:ascii="Arial" w:cs="Arial" w:eastAsia="Arial" w:hAnsi="Arial"/>
          <w:sz w:val="24"/>
          <w:szCs w:val="24"/>
        </w:rPr>
        <w:t xml:space="preserve"> - материнская компания в группе, которая не является подчиненной другой компании в группе.</w:t>
      </w:r>
    </w:p>
    <w:p>
      <w:pPr>
        <w:spacing w:after="120"/>
        <w:jc w:val="both"/>
      </w:pPr>
      <w:r>
        <w:rPr>
          <w:rFonts w:ascii="Arial" w:cs="Arial" w:eastAsia="Arial" w:hAnsi="Arial"/>
          <w:b/>
          <w:bCs/>
          <w:sz w:val="24"/>
          <w:szCs w:val="24"/>
        </w:rPr>
        <w:t xml:space="preserve">Общие интересы</w:t>
      </w:r>
      <w:r>
        <w:rPr>
          <w:rFonts w:ascii="Arial" w:cs="Arial" w:eastAsia="Arial" w:hAnsi="Arial"/>
          <w:sz w:val="24"/>
          <w:szCs w:val="24"/>
        </w:rPr>
        <w:t xml:space="preserve"> между двумя и/или более физическими и юридическими лицами признаются существующими при наличии любого из следующих условий:</w:t>
      </w:r>
    </w:p>
    <w:p>
      <w:pPr>
        <w:spacing w:after="120"/>
        <w:jc w:val="both"/>
      </w:pPr>
      <w:r>
        <w:rPr>
          <w:rFonts w:ascii="Arial" w:cs="Arial" w:eastAsia="Arial" w:hAnsi="Arial"/>
          <w:sz w:val="24"/>
          <w:szCs w:val="24"/>
        </w:rPr>
        <w:t xml:space="preserve">а) одно юридическое или физическое лицо контролирует другое лицо;</w:t>
      </w:r>
    </w:p>
    <w:p>
      <w:pPr>
        <w:spacing w:after="120"/>
        <w:jc w:val="both"/>
      </w:pPr>
      <w:r>
        <w:rPr>
          <w:rFonts w:ascii="Arial" w:cs="Arial" w:eastAsia="Arial" w:hAnsi="Arial"/>
          <w:sz w:val="24"/>
          <w:szCs w:val="24"/>
        </w:rPr>
        <w:t xml:space="preserve">б) данные лица являются аффилированными юридическими лицами или инсайдерами;</w:t>
      </w:r>
    </w:p>
    <w:p>
      <w:pPr>
        <w:spacing w:after="120"/>
        <w:jc w:val="both"/>
      </w:pPr>
      <w:r>
        <w:rPr>
          <w:rFonts w:ascii="Arial" w:cs="Arial" w:eastAsia="Arial" w:hAnsi="Arial"/>
          <w:sz w:val="24"/>
          <w:szCs w:val="24"/>
        </w:rPr>
        <w:t xml:space="preserve">в) одно из этих лиц является зависимой компанией другого лица.</w:t>
      </w:r>
    </w:p>
    <w:p>
      <w:pPr>
        <w:spacing w:after="120"/>
        <w:jc w:val="both"/>
      </w:pP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это компания, которая может быть создана основной материнской компанией, в форме акционерного общества, исключительно с целью управления дочерними и/или зависимыми компаниями (участниками), входящими в банковскую группу.</w:t>
      </w:r>
    </w:p>
    <w:p>
      <w:pPr>
        <w:spacing w:after="120"/>
        <w:jc w:val="both"/>
      </w:pPr>
      <w:r>
        <w:rPr>
          <w:rFonts w:ascii="Arial" w:cs="Arial" w:eastAsia="Arial" w:hAnsi="Arial"/>
          <w:b/>
          <w:bCs/>
          <w:sz w:val="24"/>
          <w:szCs w:val="24"/>
        </w:rPr>
        <w:t xml:space="preserve">Участник банковской группы</w:t>
      </w:r>
      <w:r>
        <w:rPr>
          <w:rFonts w:ascii="Arial" w:cs="Arial" w:eastAsia="Arial" w:hAnsi="Arial"/>
          <w:sz w:val="24"/>
          <w:szCs w:val="24"/>
        </w:rPr>
        <w:t xml:space="preserve"> - юридическое лицо, входящее в состав банковской группы.</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zeskgovcf8_iwx3cybyx1">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Для целей определения значительного участника, зависимой компании и контроля:</w:t>
      </w:r>
    </w:p>
    <w:p>
      <w:pPr>
        <w:spacing w:after="120"/>
        <w:jc w:val="both"/>
      </w:pPr>
      <w:r>
        <w:rPr>
          <w:rFonts w:ascii="Arial" w:cs="Arial" w:eastAsia="Arial" w:hAnsi="Arial"/>
          <w:sz w:val="24"/>
          <w:szCs w:val="24"/>
        </w:rPr>
        <w:t xml:space="preserve">а) акции, находящиеся во владении компаний, которые являются зависимыми компаниями одного лица или контролируются одним лицом, рассматриваются как находящиеся в косвенном владении этого лица и объединяются совместно с акциями, находящимися в прямом владении данного лица, при установлении общего количества принадлежащих лицу акций;</w:t>
      </w:r>
    </w:p>
    <w:p>
      <w:pPr>
        <w:spacing w:after="120"/>
        <w:jc w:val="both"/>
      </w:pPr>
      <w:r>
        <w:rPr>
          <w:rFonts w:ascii="Arial" w:cs="Arial" w:eastAsia="Arial" w:hAnsi="Arial"/>
          <w:sz w:val="24"/>
          <w:szCs w:val="24"/>
        </w:rPr>
        <w:t xml:space="preserve">б) акции, принадлежащие лицу и его близким родственникам (наследники первой и второй очереди согласно гражданскому законодательству), рассматриваются как напрямую принадлежащие этому лицу.</w:t>
      </w:r>
    </w:p>
    <w:p>
      <w:pPr>
        <w:spacing w:after="120"/>
        <w:jc w:val="both"/>
      </w:pPr>
      <w:r>
        <w:rPr>
          <w:rFonts w:ascii="Arial" w:cs="Arial" w:eastAsia="Arial" w:hAnsi="Arial"/>
          <w:sz w:val="24"/>
          <w:szCs w:val="24"/>
        </w:rPr>
        <w:t xml:space="preserve">Лицами, совместно владеющими акциями банка, признаются лица:</w:t>
      </w:r>
    </w:p>
    <w:p>
      <w:pPr>
        <w:spacing w:after="120"/>
        <w:jc w:val="both"/>
      </w:pPr>
      <w:r>
        <w:rPr>
          <w:rFonts w:ascii="Arial" w:cs="Arial" w:eastAsia="Arial" w:hAnsi="Arial"/>
          <w:sz w:val="24"/>
          <w:szCs w:val="24"/>
        </w:rPr>
        <w:t xml:space="preserve">а) являющиеся близкими родственниками;</w:t>
      </w:r>
    </w:p>
    <w:p>
      <w:pPr>
        <w:spacing w:after="120"/>
        <w:jc w:val="both"/>
      </w:pPr>
      <w:r>
        <w:rPr>
          <w:rFonts w:ascii="Arial" w:cs="Arial" w:eastAsia="Arial" w:hAnsi="Arial"/>
          <w:sz w:val="24"/>
          <w:szCs w:val="24"/>
        </w:rPr>
        <w:t xml:space="preserve">б) совместно владеющие акциями в силу заключенного договора или иным образом;</w:t>
      </w:r>
    </w:p>
    <w:p>
      <w:pPr>
        <w:spacing w:after="120"/>
        <w:jc w:val="both"/>
      </w:pPr>
      <w:r>
        <w:rPr>
          <w:rFonts w:ascii="Arial" w:cs="Arial" w:eastAsia="Arial" w:hAnsi="Arial"/>
          <w:sz w:val="24"/>
          <w:szCs w:val="24"/>
        </w:rPr>
        <w:t xml:space="preserve">в) являющиеся значительными участниками в отдельности или совместно;</w:t>
      </w:r>
    </w:p>
    <w:p>
      <w:pPr>
        <w:spacing w:after="120"/>
        <w:jc w:val="both"/>
      </w:pPr>
      <w:r>
        <w:rPr>
          <w:rFonts w:ascii="Arial" w:cs="Arial" w:eastAsia="Arial" w:hAnsi="Arial"/>
          <w:sz w:val="24"/>
          <w:szCs w:val="24"/>
        </w:rPr>
        <w:t xml:space="preserve">г) предоставившие заем (кредит или приравненные к нему средства) другому лицу для покупки акций и лица, получившие этот заем;</w:t>
      </w:r>
    </w:p>
    <w:p>
      <w:pPr>
        <w:spacing w:after="120"/>
        <w:jc w:val="both"/>
      </w:pPr>
      <w:r>
        <w:rPr>
          <w:rFonts w:ascii="Arial" w:cs="Arial" w:eastAsia="Arial" w:hAnsi="Arial"/>
          <w:sz w:val="24"/>
          <w:szCs w:val="24"/>
        </w:rPr>
        <w:t xml:space="preserve">д) являющиеся должностными лицами или представителями другого лица.</w:t>
      </w:r>
    </w:p>
    <w:p>
      <w:pPr>
        <w:spacing w:after="120"/>
        <w:jc w:val="both"/>
      </w:pPr>
      <w:r>
        <w:rPr>
          <w:rFonts w:ascii="Arial" w:cs="Arial" w:eastAsia="Arial" w:hAnsi="Arial"/>
          <w:sz w:val="24"/>
          <w:szCs w:val="24"/>
        </w:rPr>
        <w:t xml:space="preserve">4. Национальный банк осуществляет надзор на консолидированной основе в отношении:</w:t>
      </w:r>
    </w:p>
    <w:p>
      <w:pPr>
        <w:spacing w:after="120"/>
        <w:jc w:val="both"/>
      </w:pPr>
      <w:r>
        <w:rPr>
          <w:rFonts w:ascii="Arial" w:cs="Arial" w:eastAsia="Arial" w:hAnsi="Arial"/>
          <w:sz w:val="24"/>
          <w:szCs w:val="24"/>
        </w:rPr>
        <w:t xml:space="preserve">- банка, действующего на территории Кыргызской Республики, и его дочерних и/или зависимых компаний;</w:t>
      </w:r>
    </w:p>
    <w:p>
      <w:pPr>
        <w:spacing w:after="120"/>
        <w:jc w:val="both"/>
      </w:pPr>
      <w:r>
        <w:rPr>
          <w:rFonts w:ascii="Arial" w:cs="Arial" w:eastAsia="Arial" w:hAnsi="Arial"/>
          <w:sz w:val="24"/>
          <w:szCs w:val="24"/>
        </w:rPr>
        <w:t xml:space="preserve">- банковской группы, состоящей из банковской холдинговой компании, созданной на территории Кыргызской Республики, одной из дочерних и/или зависимых компаний, которой является банк, действующий на территории Кыргызской Республики;</w:t>
      </w:r>
    </w:p>
    <w:p>
      <w:pPr>
        <w:spacing w:after="120"/>
        <w:jc w:val="both"/>
      </w:pPr>
      <w:r>
        <w:rPr>
          <w:rFonts w:ascii="Arial" w:cs="Arial" w:eastAsia="Arial" w:hAnsi="Arial"/>
          <w:sz w:val="24"/>
          <w:szCs w:val="24"/>
        </w:rPr>
        <w:t xml:space="preserve">- группы юридических лиц, занимающихся банковской и/или финансовой деятельностью на территории Кыргызской Республики, в состав которой также входит банк, действующий на территории Кыргызской Республики, контроль над которыми осуществляет одно и то же лицо, единолично или совместно с другими лицами.</w:t>
      </w:r>
    </w:p>
    <w:p>
      <w:pPr>
        <w:spacing w:after="120"/>
        <w:jc w:val="both"/>
      </w:pPr>
      <w:r>
        <w:rPr>
          <w:rFonts w:ascii="Arial" w:cs="Arial" w:eastAsia="Arial" w:hAnsi="Arial"/>
          <w:sz w:val="24"/>
          <w:szCs w:val="24"/>
        </w:rPr>
        <w:t xml:space="preserve">В случае если в группе юридических лиц, занимающихся банковской и/или финансовой деятельностью, над которыми контроль осуществляет одно и тоже лицо, единолично или совместно с другими лицами, отсутствует материнская компания, то уполномоченное соответствующим решением контролирующего лица и согласованное с Национальным банком юридическое лицо (занимающееся банковской и/или финансовой деятельностью) выполняет требования, установленные Национальным банком, в том числе по предоставлению информации и отчетности.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i5ouuqhhl70bfgkj2x4se">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Прозрачность деятельности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Компании, входящие в банковскую группу, могут осуществлять только банковскую и/или финансовую деятельность, а также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w:t>
      </w:r>
    </w:p>
    <w:p>
      <w:pPr>
        <w:spacing w:after="120"/>
        <w:jc w:val="both"/>
      </w:pPr>
      <w:r>
        <w:rPr>
          <w:rFonts w:ascii="Arial" w:cs="Arial" w:eastAsia="Arial" w:hAnsi="Arial"/>
          <w:sz w:val="24"/>
          <w:szCs w:val="24"/>
        </w:rPr>
        <w:t xml:space="preserve">6. Национальный банк вправе в любое время требовать необходимую информацию от контролирующих лиц и значительных участников банка, любого другого участника банковской группы и лиц, имеющих с банком общие интересы для определения:</w:t>
      </w:r>
    </w:p>
    <w:p>
      <w:pPr>
        <w:spacing w:after="120"/>
        <w:jc w:val="both"/>
      </w:pPr>
      <w:r>
        <w:rPr>
          <w:rFonts w:ascii="Arial" w:cs="Arial" w:eastAsia="Arial" w:hAnsi="Arial"/>
          <w:sz w:val="24"/>
          <w:szCs w:val="24"/>
        </w:rPr>
        <w:t xml:space="preserve">- финансового состояния, уровня системы управления рисками и качества корпоративного управления банковской холдинговой компании;</w:t>
      </w:r>
    </w:p>
    <w:p>
      <w:pPr>
        <w:spacing w:after="120"/>
        <w:jc w:val="both"/>
      </w:pPr>
      <w:r>
        <w:rPr>
          <w:rFonts w:ascii="Arial" w:cs="Arial" w:eastAsia="Arial" w:hAnsi="Arial"/>
          <w:sz w:val="24"/>
          <w:szCs w:val="24"/>
        </w:rPr>
        <w:t xml:space="preserve">- степени влияния банковской холдинговой компании на дочерний банк;</w:t>
      </w:r>
    </w:p>
    <w:p>
      <w:pPr>
        <w:spacing w:after="120"/>
        <w:jc w:val="both"/>
      </w:pPr>
      <w:r>
        <w:rPr>
          <w:rFonts w:ascii="Arial" w:cs="Arial" w:eastAsia="Arial" w:hAnsi="Arial"/>
          <w:sz w:val="24"/>
          <w:szCs w:val="24"/>
        </w:rPr>
        <w:t xml:space="preserve">- контролирующего лица и/или лиц (физических и юридических);</w:t>
      </w:r>
    </w:p>
    <w:p>
      <w:pPr>
        <w:spacing w:after="120"/>
        <w:jc w:val="both"/>
      </w:pPr>
      <w:r>
        <w:rPr>
          <w:rFonts w:ascii="Arial" w:cs="Arial" w:eastAsia="Arial" w:hAnsi="Arial"/>
          <w:sz w:val="24"/>
          <w:szCs w:val="24"/>
        </w:rPr>
        <w:t xml:space="preserve">- деятельности, осуществляемой банковской группой и ее участниками;</w:t>
      </w:r>
    </w:p>
    <w:p>
      <w:pPr>
        <w:spacing w:after="120"/>
        <w:jc w:val="both"/>
      </w:pPr>
      <w:r>
        <w:rPr>
          <w:rFonts w:ascii="Arial" w:cs="Arial" w:eastAsia="Arial" w:hAnsi="Arial"/>
          <w:sz w:val="24"/>
          <w:szCs w:val="24"/>
        </w:rPr>
        <w:t xml:space="preserve">- финансового состояния банковской группы и ее участников;</w:t>
      </w:r>
    </w:p>
    <w:p>
      <w:pPr>
        <w:spacing w:after="120"/>
        <w:jc w:val="both"/>
      </w:pPr>
      <w:r>
        <w:rPr>
          <w:rFonts w:ascii="Arial" w:cs="Arial" w:eastAsia="Arial" w:hAnsi="Arial"/>
          <w:sz w:val="24"/>
          <w:szCs w:val="24"/>
        </w:rPr>
        <w:t xml:space="preserve">- видов рисков, присущих банковской группе и ее участникам;</w:t>
      </w:r>
    </w:p>
    <w:p>
      <w:pPr>
        <w:spacing w:after="120"/>
        <w:jc w:val="both"/>
      </w:pPr>
      <w:r>
        <w:rPr>
          <w:rFonts w:ascii="Arial" w:cs="Arial" w:eastAsia="Arial" w:hAnsi="Arial"/>
          <w:sz w:val="24"/>
          <w:szCs w:val="24"/>
        </w:rPr>
        <w:t xml:space="preserve">- системы управления рисками банковской группы;</w:t>
      </w:r>
    </w:p>
    <w:p>
      <w:pPr>
        <w:spacing w:after="120"/>
        <w:jc w:val="both"/>
      </w:pPr>
      <w:r>
        <w:rPr>
          <w:rFonts w:ascii="Arial" w:cs="Arial" w:eastAsia="Arial" w:hAnsi="Arial"/>
          <w:sz w:val="24"/>
          <w:szCs w:val="24"/>
        </w:rPr>
        <w:t xml:space="preserve">- деловых, финансовых и других взаимоотношений между участниками банковской группы.</w:t>
      </w:r>
    </w:p>
    <w:p>
      <w:pPr>
        <w:spacing w:after="120"/>
        <w:jc w:val="both"/>
      </w:pPr>
      <w:r>
        <w:rPr>
          <w:rFonts w:ascii="Arial" w:cs="Arial" w:eastAsia="Arial" w:hAnsi="Arial"/>
          <w:sz w:val="24"/>
          <w:szCs w:val="24"/>
        </w:rPr>
        <w:t xml:space="preserve">Национальный банк может потребовать предоставления дополнительной информации от банковской холдинговой компании или от любого участника банковской группы.</w:t>
      </w:r>
    </w:p>
    <w:p>
      <w:pPr>
        <w:spacing w:after="120"/>
        <w:jc w:val="both"/>
      </w:pPr>
      <w:r>
        <w:rPr>
          <w:rFonts w:ascii="Arial" w:cs="Arial" w:eastAsia="Arial" w:hAnsi="Arial"/>
          <w:sz w:val="24"/>
          <w:szCs w:val="24"/>
        </w:rPr>
        <w:t xml:space="preserve">7. Любое физическое или юридическое лицо обязано получить предварительное разрешение Национального банка, если оно намеревается единолично или совместно с другими лицами: стать значительным участником банка, осуществлять прямое или косвенное владение или управление более двадцатью процентами голосующих акций или стать контролирующим банк лицом.</w:t>
      </w:r>
    </w:p>
    <w:p>
      <w:pPr>
        <w:spacing w:after="120"/>
        <w:jc w:val="both"/>
      </w:pPr>
      <w:r>
        <w:rPr>
          <w:rFonts w:ascii="Arial" w:cs="Arial" w:eastAsia="Arial" w:hAnsi="Arial"/>
          <w:sz w:val="24"/>
          <w:szCs w:val="24"/>
        </w:rPr>
        <w:t xml:space="preserve">Юридические лица, не занимающиеся банковской и/или финансовой деятельностью, а также деятельностью, связанной с банковской и/или финансовой деятельностью, не могут единолично или совместно с другими лицами, осуществлять:</w:t>
      </w:r>
    </w:p>
    <w:p>
      <w:pPr>
        <w:spacing w:after="120"/>
        <w:jc w:val="both"/>
      </w:pPr>
      <w:r>
        <w:rPr>
          <w:rFonts w:ascii="Arial" w:cs="Arial" w:eastAsia="Arial" w:hAnsi="Arial"/>
          <w:sz w:val="24"/>
          <w:szCs w:val="24"/>
        </w:rPr>
        <w:t xml:space="preserve">- прямое или косвенное владение или управление более двадцати процентами голосующих акций (любого типа) банка;</w:t>
      </w:r>
    </w:p>
    <w:p>
      <w:pPr>
        <w:spacing w:after="120"/>
        <w:jc w:val="both"/>
      </w:pPr>
      <w:r>
        <w:rPr>
          <w:rFonts w:ascii="Arial" w:cs="Arial" w:eastAsia="Arial" w:hAnsi="Arial"/>
          <w:sz w:val="24"/>
          <w:szCs w:val="24"/>
        </w:rPr>
        <w:t xml:space="preserve">- или, независимо от участия в уставном капитале банка, осуществлять значительное влияние на руководство и/или политику данного банка на основании соглашения или иным образом.</w:t>
      </w:r>
    </w:p>
    <w:p>
      <w:pPr>
        <w:spacing w:after="120"/>
        <w:jc w:val="both"/>
      </w:pPr>
      <w:r>
        <w:rPr>
          <w:rFonts w:ascii="Arial" w:cs="Arial" w:eastAsia="Arial" w:hAnsi="Arial"/>
          <w:sz w:val="24"/>
          <w:szCs w:val="24"/>
        </w:rPr>
        <w:t xml:space="preserve">8. Разрешение Национального банка необходимо получить также в случае, если в результате дополнительного приобретения акций банка или иным образом любое физическое или юридическое лицо становится прямо или косвенно значительным участником банка, будет осуществлять прямое или косвенное владение или управление более двадцатью процентами голосующих акций банка или становиться контролирующим банк лицом.</w:t>
      </w:r>
    </w:p>
    <w:p>
      <w:pPr>
        <w:spacing w:after="120"/>
        <w:jc w:val="both"/>
      </w:pPr>
      <w:r>
        <w:rPr>
          <w:rFonts w:ascii="Arial" w:cs="Arial" w:eastAsia="Arial" w:hAnsi="Arial"/>
          <w:sz w:val="24"/>
          <w:szCs w:val="24"/>
        </w:rPr>
        <w:t xml:space="preserve">9. При подаче заявки на приобретение акций банка, в Национальный банк должна быть представлена информация в соответствии с требованиями </w:t>
      </w:r>
      <w:hyperlink w:history="1" r:id="rIdjrz97q9p7drrzacozog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w:t>
      </w:r>
      <w:hyperlink w:history="1" r:id="rIdsothycnsh3q_ypnusqzq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утвержденного </w:t>
      </w:r>
      <w:hyperlink w:history="1" r:id="rIdytbcmac3elcn5wkmw0lw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регистрационный номер Министерства юстиции № 34-06 от 07.04.2006 года (далее - </w:t>
      </w:r>
      <w:hyperlink w:history="1" r:id="rIdiqmhy_o8dlwtlg9kxsqs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w:t>
      </w:r>
    </w:p>
    <w:p>
      <w:pPr>
        <w:spacing w:after="120"/>
        <w:jc w:val="both"/>
      </w:pPr>
      <w:r>
        <w:rPr>
          <w:rFonts w:ascii="Arial" w:cs="Arial" w:eastAsia="Arial" w:hAnsi="Arial"/>
          <w:sz w:val="24"/>
          <w:szCs w:val="24"/>
        </w:rPr>
        <w:t xml:space="preserve">10. Банк, являющийся участником банковской группы, осуществляет свою деятельность независимо от остальных участников банковской группы.</w:t>
      </w:r>
    </w:p>
    <w:p>
      <w:pPr>
        <w:spacing w:after="120"/>
        <w:jc w:val="both"/>
      </w:pPr>
      <w:r>
        <w:rPr>
          <w:rFonts w:ascii="Arial" w:cs="Arial" w:eastAsia="Arial" w:hAnsi="Arial"/>
          <w:sz w:val="24"/>
          <w:szCs w:val="24"/>
        </w:rPr>
        <w:t xml:space="preserve">11. Банковская холдинговая компания или банк, находящийся во главе банковской группы несет ответственность за деятельность всей банковской группы на соответствие требованиям Национального банка.</w:t>
      </w:r>
    </w:p>
    <w:p>
      <w:pPr>
        <w:spacing w:after="120"/>
        <w:jc w:val="both"/>
      </w:pPr>
      <w:r>
        <w:rPr>
          <w:rFonts w:ascii="Arial" w:cs="Arial" w:eastAsia="Arial" w:hAnsi="Arial"/>
          <w:sz w:val="24"/>
          <w:szCs w:val="24"/>
        </w:rPr>
        <w:t xml:space="preserve">12. Наблюдательный орган и исполнительный орган банковской холдинговой компании или банка, находящегося во главе банковской группы должны обеспечить надлежащий обмен необходимой информацией между всеми участниками банковской группы.</w:t>
      </w:r>
    </w:p>
    <w:p>
      <w:pPr>
        <w:spacing w:after="120"/>
        <w:jc w:val="both"/>
      </w:pPr>
      <w:r>
        <w:rPr>
          <w:rFonts w:ascii="Arial" w:cs="Arial" w:eastAsia="Arial" w:hAnsi="Arial"/>
          <w:sz w:val="24"/>
          <w:szCs w:val="24"/>
        </w:rPr>
        <w:t xml:space="preserve">13. Материнская компания (в том числе нерезидент Кыргызской Республики), при наличии фактов или обстоятельств, которые могут негативно/существенно(5) повлиять на деятельность ее дочернего и/или зависимого банка, лицензируемого Национальным банком, в течение 5 рабочих дней с момента выявления указанных фактов или обстоятельств, направляет в Национальный банк письменное уведомление об этом с указанием предпринимаемых мер по недопущению такого влияния.</w:t>
      </w:r>
    </w:p>
    <w:p>
      <w:pPr>
        <w:spacing w:after="120"/>
        <w:jc w:val="both"/>
      </w:pPr>
      <w:r>
        <w:rPr>
          <w:rFonts w:ascii="Arial" w:cs="Arial" w:eastAsia="Arial" w:hAnsi="Arial"/>
          <w:sz w:val="24"/>
          <w:szCs w:val="24"/>
        </w:rPr>
        <w:t xml:space="preserve">При неуведомлении материнской компанией или уведомлении с нарушением установленного срока, Национальный банк вправе применить в отношении дочернего и/или зависимого банка, расположенного на территории Кыргызской Республики и его материнской компании (резидента Кыргызской Республики), меры воздействия,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Материнская компания, в случае наличия фактов или обстоятельств, которые могут негативно/существенно повлиять на деятельность ее дочернего и/или зависимого банка, лицензируемого Национальным банком, в целях недопущения такого влияния, своевременно информирует об этом дочерний и/или зависимый банк, расположенный на территории Кыргызской Республики.</w:t>
      </w:r>
    </w:p>
    <w:p>
      <w:pPr>
        <w:spacing w:after="120"/>
        <w:jc w:val="both"/>
      </w:pPr>
      <w:r>
        <w:rPr>
          <w:rFonts w:ascii="Arial" w:cs="Arial" w:eastAsia="Arial" w:hAnsi="Arial"/>
          <w:sz w:val="24"/>
          <w:szCs w:val="24"/>
        </w:rPr>
        <w:t xml:space="preserve">Дочерний и/или зависимый банк, лицензируемый Национальным банком, при получении вышеуказанной информации от материнской компании, письменно извещает об этом Национальный банк в течение 2 рабочих дней после получения данной информации.</w:t>
      </w:r>
    </w:p>
    <w:p>
      <w:pPr>
        <w:spacing w:after="120"/>
        <w:jc w:val="both"/>
      </w:pPr>
      <w:r>
        <w:rPr>
          <w:rFonts w:ascii="Arial" w:cs="Arial" w:eastAsia="Arial" w:hAnsi="Arial"/>
          <w:sz w:val="24"/>
          <w:szCs w:val="24"/>
        </w:rPr>
        <w:t xml:space="preserve">14. В случае наличия угрозы финансовому состоянию банка, лицензируемого Национальным банком, возникающей в результате участия в банковской группе, банк в течение 2 рабочих дней с момента возникновения угрозы, письменно сообщает Национальному банку об этом с указанием предпринимаемых мер по недопущению такого воздействия.</w:t>
      </w:r>
    </w:p>
    <w:p>
      <w:pPr>
        <w:spacing w:after="120"/>
        <w:jc w:val="both"/>
      </w:pPr>
      <w:r>
        <w:rPr>
          <w:rFonts w:ascii="Arial" w:cs="Arial" w:eastAsia="Arial" w:hAnsi="Arial"/>
          <w:sz w:val="24"/>
          <w:szCs w:val="24"/>
        </w:rPr>
        <w:t xml:space="preserve">Глава 3.
 Капитал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Банковская группа должна иметь соответствующий уровень капитала, достаточный для покрытия непредвиденных возможных убытков и потерь всех участников группы.</w:t>
      </w:r>
    </w:p>
    <w:p>
      <w:pPr>
        <w:spacing w:after="120"/>
        <w:jc w:val="both"/>
      </w:pPr>
      <w:r>
        <w:rPr>
          <w:rFonts w:ascii="Arial" w:cs="Arial" w:eastAsia="Arial" w:hAnsi="Arial"/>
          <w:sz w:val="24"/>
          <w:szCs w:val="24"/>
        </w:rPr>
        <w:t xml:space="preserve">16. Участники банковской группы должны иметь политики и процедуры по обеспечению адекватности капитала, предусматривающие защиту от возможных потрясений банков, находящихся в группе, и соответствующие их хозяйственной деятельности.</w:t>
      </w:r>
    </w:p>
    <w:p>
      <w:pPr>
        <w:spacing w:after="120"/>
        <w:jc w:val="both"/>
      </w:pPr>
      <w:r>
        <w:rPr>
          <w:rFonts w:ascii="Arial" w:cs="Arial" w:eastAsia="Arial" w:hAnsi="Arial"/>
          <w:sz w:val="24"/>
          <w:szCs w:val="24"/>
        </w:rPr>
        <w:t xml:space="preserve">17. Капитал банковской группы и участников банковской группы должен соответствовать требованиям, установленным законодательством Кыргызской Республики и нормативными правовыми актами Национального банка. Банковская холдинговая компания или банк, находящийся во главе банковской группы несет ответственность за обеспечение выполнения данного требования участниками банковской группы.</w:t>
      </w:r>
    </w:p>
    <w:p>
      <w:pPr>
        <w:spacing w:after="120"/>
        <w:jc w:val="both"/>
      </w:pPr>
      <w:r>
        <w:rPr>
          <w:rFonts w:ascii="Arial" w:cs="Arial" w:eastAsia="Arial" w:hAnsi="Arial"/>
          <w:sz w:val="24"/>
          <w:szCs w:val="24"/>
        </w:rPr>
        <w:t xml:space="preserve">18. Банковская холдинговая компания или банк, находящийся во главе банковской группы должен представить в Национальный банк утвержденную наблюдательным органом политику банковской группы по адекватности капитала, в том числе, утвержденную методику оценки адекватности капитала.</w:t>
      </w:r>
    </w:p>
    <w:p>
      <w:pPr>
        <w:spacing w:after="120"/>
        <w:jc w:val="both"/>
      </w:pPr>
      <w:r>
        <w:rPr>
          <w:rFonts w:ascii="Arial" w:cs="Arial" w:eastAsia="Arial" w:hAnsi="Arial"/>
          <w:sz w:val="24"/>
          <w:szCs w:val="24"/>
        </w:rPr>
        <w:t xml:space="preserve">19. При осуществлении инспекторских проверок Национальный банк вправе проверить наличие и соблюдение соответствующих политик и процедур банковской группы по адекватности капитала.</w:t>
      </w:r>
    </w:p>
    <w:p>
      <w:pPr>
        <w:spacing w:after="120"/>
        <w:jc w:val="both"/>
      </w:pPr>
      <w:r>
        <w:rPr>
          <w:rFonts w:ascii="Arial" w:cs="Arial" w:eastAsia="Arial" w:hAnsi="Arial"/>
          <w:sz w:val="24"/>
          <w:szCs w:val="24"/>
        </w:rPr>
        <w:t xml:space="preserve">20. В целях обеспечения защиты банков, входящих в банковскую группу, Национальный банк может требовать внесения изменений и дополнений в политики и процедуры по обеспечению адекватности капитала.</w:t>
      </w:r>
    </w:p>
    <w:p>
      <w:pPr>
        <w:spacing w:after="120"/>
        <w:jc w:val="both"/>
      </w:pPr>
      <w:r>
        <w:rPr>
          <w:rFonts w:ascii="Arial" w:cs="Arial" w:eastAsia="Arial" w:hAnsi="Arial"/>
          <w:sz w:val="24"/>
          <w:szCs w:val="24"/>
        </w:rPr>
        <w:t xml:space="preserve">21. Национальный банк может потребовать от банка внесения дополнительного капитала или ввести более высокие экономические нормативы по адекватности капитала, если установит, что капитал группы недостаточен для защиты банка и присутствует существенный риск негативного влияния на финансовое состояние банка, связанный с его участием в банковской группе, или что деятельность банковской группы недостаточно прозрачна для выполнения законодательства Кыргызской Республики, включая требования Национального банка.</w:t>
      </w:r>
    </w:p>
    <w:p>
      <w:pPr>
        <w:spacing w:after="120"/>
        <w:jc w:val="both"/>
      </w:pPr>
      <w:r>
        <w:rPr>
          <w:rFonts w:ascii="Arial" w:cs="Arial" w:eastAsia="Arial" w:hAnsi="Arial"/>
          <w:sz w:val="24"/>
          <w:szCs w:val="24"/>
        </w:rPr>
        <w:t xml:space="preserve">22. Банковская холдинговая компания или банк, находящийся во главе банковской группы в обязательном порядке должен уведомлять Национальный банк обо всех фактах или обстоятельствах, которые могут существенно повлиять на ее капитал или на капитал любой ее дочерней или зависимой компании.</w:t>
      </w:r>
    </w:p>
    <w:p>
      <w:pPr>
        <w:spacing w:after="120"/>
        <w:jc w:val="both"/>
      </w:pPr>
      <w:r>
        <w:rPr>
          <w:rFonts w:ascii="Arial" w:cs="Arial" w:eastAsia="Arial" w:hAnsi="Arial"/>
          <w:sz w:val="24"/>
          <w:szCs w:val="24"/>
        </w:rPr>
        <w:t xml:space="preserve">Глава 4.
 Управление рисками и внутренний контроль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pPr>
        <w:spacing w:after="120"/>
        <w:jc w:val="both"/>
      </w:pPr>
      <w:r>
        <w:rPr>
          <w:rFonts w:ascii="Arial" w:cs="Arial" w:eastAsia="Arial" w:hAnsi="Arial"/>
          <w:sz w:val="24"/>
          <w:szCs w:val="24"/>
        </w:rPr>
        <w:t xml:space="preserve">24. Банковские группы должны иметь системы управления рисками и внутреннего контроля, соответствующие деятельности банковской группы.</w:t>
      </w:r>
    </w:p>
    <w:p>
      <w:pPr>
        <w:spacing w:after="120"/>
        <w:jc w:val="both"/>
      </w:pPr>
      <w:r>
        <w:rPr>
          <w:rFonts w:ascii="Arial" w:cs="Arial" w:eastAsia="Arial" w:hAnsi="Arial"/>
          <w:sz w:val="24"/>
          <w:szCs w:val="24"/>
        </w:rPr>
        <w:t xml:space="preserve">25. Банковская группа должна соблюдать ограничения Национального банка по крупным рискам, размерам инвестиций и валютной позиции на консолидированной основе.</w:t>
      </w:r>
    </w:p>
    <w:p>
      <w:pPr>
        <w:spacing w:after="120"/>
        <w:jc w:val="both"/>
      </w:pPr>
      <w:r>
        <w:rPr>
          <w:rFonts w:ascii="Arial" w:cs="Arial" w:eastAsia="Arial" w:hAnsi="Arial"/>
          <w:sz w:val="24"/>
          <w:szCs w:val="24"/>
        </w:rPr>
        <w:t xml:space="preserve">26. Политика управления рисками банковской группы должна включать:</w:t>
      </w:r>
    </w:p>
    <w:p>
      <w:pPr>
        <w:spacing w:after="120"/>
        <w:jc w:val="both"/>
      </w:pPr>
      <w:r>
        <w:rPr>
          <w:rFonts w:ascii="Arial" w:cs="Arial" w:eastAsia="Arial" w:hAnsi="Arial"/>
          <w:sz w:val="24"/>
          <w:szCs w:val="24"/>
        </w:rPr>
        <w:t xml:space="preserve">1) адекватное управление принимаемыми рисками банковской группы в соответствии с политиками, утвержденными органом управления банковской группы;</w:t>
      </w:r>
    </w:p>
    <w:p>
      <w:pPr>
        <w:spacing w:after="120"/>
        <w:jc w:val="both"/>
      </w:pPr>
      <w:r>
        <w:rPr>
          <w:rFonts w:ascii="Arial" w:cs="Arial" w:eastAsia="Arial" w:hAnsi="Arial"/>
          <w:sz w:val="24"/>
          <w:szCs w:val="24"/>
        </w:rPr>
        <w:t xml:space="preserve">2) нормы, обеспечивающие поддержание уровня капитала, достаточного для покрытия рисков, принимаемых банковской группой;</w:t>
      </w:r>
    </w:p>
    <w:p>
      <w:pPr>
        <w:spacing w:after="120"/>
        <w:jc w:val="both"/>
      </w:pPr>
      <w:r>
        <w:rPr>
          <w:rFonts w:ascii="Arial" w:cs="Arial" w:eastAsia="Arial" w:hAnsi="Arial"/>
          <w:sz w:val="24"/>
          <w:szCs w:val="24"/>
        </w:rPr>
        <w:t xml:space="preserve">3) положения, в соответствии с которыми системы управления рисками охватывают всю банковскую группу.</w:t>
      </w:r>
    </w:p>
    <w:p>
      <w:pPr>
        <w:spacing w:after="120"/>
        <w:jc w:val="both"/>
      </w:pPr>
      <w:r>
        <w:rPr>
          <w:rFonts w:ascii="Arial" w:cs="Arial" w:eastAsia="Arial" w:hAnsi="Arial"/>
          <w:sz w:val="24"/>
          <w:szCs w:val="24"/>
        </w:rPr>
        <w:t xml:space="preserve">27. Система внутреннего контроля должна включать:</w:t>
      </w:r>
    </w:p>
    <w:p>
      <w:pPr>
        <w:spacing w:after="120"/>
        <w:jc w:val="both"/>
      </w:pPr>
      <w:r>
        <w:rPr>
          <w:rFonts w:ascii="Arial" w:cs="Arial" w:eastAsia="Arial" w:hAnsi="Arial"/>
          <w:sz w:val="24"/>
          <w:szCs w:val="24"/>
        </w:rPr>
        <w:t xml:space="preserve">1) адекватные существенным рискам механизмы, определяющие оценку достаточности капитала по отношению к принимаемым банковской группой;</w:t>
      </w:r>
    </w:p>
    <w:p>
      <w:pPr>
        <w:spacing w:after="120"/>
        <w:jc w:val="both"/>
      </w:pPr>
      <w:r>
        <w:rPr>
          <w:rFonts w:ascii="Arial" w:cs="Arial" w:eastAsia="Arial" w:hAnsi="Arial"/>
          <w:sz w:val="24"/>
          <w:szCs w:val="24"/>
        </w:rPr>
        <w:t xml:space="preserve">2) надежные процедуры отчетности и учета для определения, оценки, мониторинга и контроля операций внутри группы и риска концентрации.</w:t>
      </w:r>
    </w:p>
    <w:p>
      <w:pPr>
        <w:spacing w:after="120"/>
        <w:jc w:val="both"/>
      </w:pPr>
      <w:r>
        <w:rPr>
          <w:rFonts w:ascii="Arial" w:cs="Arial" w:eastAsia="Arial" w:hAnsi="Arial"/>
          <w:sz w:val="24"/>
          <w:szCs w:val="24"/>
        </w:rPr>
        <w:t xml:space="preserve">28. Банковская холдинговая компания или банк, находящийся во главе банковской группы, несет ответственность за соблюдение банковской группой требований Национального банка к системе управлениям рисками.</w:t>
      </w:r>
    </w:p>
    <w:p>
      <w:pPr>
        <w:spacing w:after="120"/>
        <w:jc w:val="both"/>
      </w:pPr>
      <w:r>
        <w:rPr>
          <w:rFonts w:ascii="Arial" w:cs="Arial" w:eastAsia="Arial" w:hAnsi="Arial"/>
          <w:sz w:val="24"/>
          <w:szCs w:val="24"/>
        </w:rPr>
        <w:t xml:space="preserve">29. Банковская группа, участники которой осуществляют финансовую деятельность (небанковскую), должны иметь политики и процедуры по ограничению крупных кредитных рисков, риска ликвидности, инвестиционных, валютных и других рисков, характерных для их деятельности и защищающих банки, находящиеся в группе.</w:t>
      </w:r>
    </w:p>
    <w:p>
      <w:pPr>
        <w:spacing w:after="120"/>
        <w:jc w:val="both"/>
      </w:pPr>
      <w:r>
        <w:rPr>
          <w:rFonts w:ascii="Arial" w:cs="Arial" w:eastAsia="Arial" w:hAnsi="Arial"/>
          <w:sz w:val="24"/>
          <w:szCs w:val="24"/>
        </w:rPr>
        <w:t xml:space="preserve">30. Участники банковской группы, которые осуществляют финансовую деятельность (небанковскую), должны включать описание политик и процедур в ежегодный отчет по управлению рисками банковской холдинговой компании или банка, находящегося во главе банковской группы.</w:t>
      </w:r>
    </w:p>
    <w:p>
      <w:pPr>
        <w:spacing w:after="120"/>
        <w:jc w:val="both"/>
      </w:pPr>
      <w:r>
        <w:rPr>
          <w:rFonts w:ascii="Arial" w:cs="Arial" w:eastAsia="Arial" w:hAnsi="Arial"/>
          <w:sz w:val="24"/>
          <w:szCs w:val="24"/>
        </w:rPr>
        <w:t xml:space="preserve">31. Национальный банк может потребовать внесения корректировок в политики и процедуры участников банковской группы, осуществляющих финансовую (небанковскую) деятельность, в целях минимизации рисков и недопущения нарушения законодательства Кыргызской Республики банком (банками), входящего (входящими) в группу.</w:t>
      </w:r>
    </w:p>
    <w:p>
      <w:pPr>
        <w:spacing w:after="120"/>
        <w:jc w:val="both"/>
      </w:pPr>
      <w:r>
        <w:rPr>
          <w:rFonts w:ascii="Arial" w:cs="Arial" w:eastAsia="Arial" w:hAnsi="Arial"/>
          <w:sz w:val="24"/>
          <w:szCs w:val="24"/>
        </w:rPr>
        <w:t xml:space="preserve">Глава 5.
 Корпоративное управление банковской группой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Должностные лица, члены наблюдательного органа и исполнительного органа банковской холдинговой компании или банка, стоящего во главе банковской группы должны соответствовать минимальным квалификационным требованиям, установленным законодательством Кыргызской Республики. Попечительские обязанности, которые выполняют члены Совета директоров и Правления банков, применяются также и к членам наблюдательного органа и исполнительного органа управления банковской холдинговой компании.</w:t>
      </w:r>
    </w:p>
    <w:p>
      <w:pPr>
        <w:spacing w:after="120"/>
        <w:jc w:val="both"/>
      </w:pPr>
      <w:r>
        <w:rPr>
          <w:rFonts w:ascii="Arial" w:cs="Arial" w:eastAsia="Arial" w:hAnsi="Arial"/>
          <w:sz w:val="24"/>
          <w:szCs w:val="24"/>
        </w:rPr>
        <w:t xml:space="preserve">33. Банковская холдинговая компания должна предоставлять в Национальный банк информацию о членах наблюдательного органа и исполнительного органа, о значительных участниках, о лицах, прямо или косвенно осуществляющих контроль, вместе с информацией о деловой репутации и надежности назначенных должностных лиц в соответствии с требованиями Положения о лицензировании деятельности банков.</w:t>
      </w:r>
    </w:p>
    <w:p>
      <w:pPr>
        <w:spacing w:after="120"/>
        <w:jc w:val="both"/>
      </w:pPr>
      <w:r>
        <w:rPr>
          <w:rFonts w:ascii="Arial" w:cs="Arial" w:eastAsia="Arial" w:hAnsi="Arial"/>
          <w:sz w:val="24"/>
          <w:szCs w:val="24"/>
        </w:rPr>
        <w:t xml:space="preserve">Банковская холдинговая компания-резидент Кыргызской Республики должна предоставить в Национальный банк вышеуказанную информацию в течение десяти рабочих дней после их назначения.</w:t>
      </w:r>
    </w:p>
    <w:p>
      <w:pPr>
        <w:spacing w:after="120"/>
        <w:jc w:val="both"/>
      </w:pPr>
      <w:r>
        <w:rPr>
          <w:rFonts w:ascii="Arial" w:cs="Arial" w:eastAsia="Arial" w:hAnsi="Arial"/>
          <w:sz w:val="24"/>
          <w:szCs w:val="24"/>
        </w:rPr>
        <w:t xml:space="preserve">Банковская холдинговая компания-нерезидент Кыргызской Республики должна предоставить в Национальный банк вышеуказанную информацию в течение тридцати календарных дней после их назначения.</w:t>
      </w:r>
    </w:p>
    <w:p>
      <w:pPr>
        <w:spacing w:after="120"/>
        <w:jc w:val="both"/>
      </w:pPr>
      <w:r>
        <w:rPr>
          <w:rFonts w:ascii="Arial" w:cs="Arial" w:eastAsia="Arial" w:hAnsi="Arial"/>
          <w:sz w:val="24"/>
          <w:szCs w:val="24"/>
        </w:rPr>
        <w:t xml:space="preserve">34. Лицо не может быть членом наблюдательного органа банковской холдинговой компании и должно быть отстранено от занимаемой должности:</w:t>
      </w:r>
    </w:p>
    <w:p>
      <w:pPr>
        <w:spacing w:after="120"/>
        <w:jc w:val="both"/>
      </w:pPr>
      <w:r>
        <w:rPr>
          <w:rFonts w:ascii="Arial" w:cs="Arial" w:eastAsia="Arial" w:hAnsi="Arial"/>
          <w:sz w:val="24"/>
          <w:szCs w:val="24"/>
        </w:rPr>
        <w:t xml:space="preserve">1) если оно имеет судимость, неснятую и/или непогашенную в установленном законодательством порядке;</w:t>
      </w:r>
    </w:p>
    <w:p>
      <w:pPr>
        <w:spacing w:after="120"/>
        <w:jc w:val="both"/>
      </w:pPr>
      <w:r>
        <w:rPr>
          <w:rFonts w:ascii="Arial" w:cs="Arial" w:eastAsia="Arial" w:hAnsi="Arial"/>
          <w:sz w:val="24"/>
          <w:szCs w:val="24"/>
        </w:rPr>
        <w:t xml:space="preserve">2) если оно являлось руководителем юридического лица, подвергнутого процедуре банкротства методом ликвидации;</w:t>
      </w:r>
    </w:p>
    <w:p>
      <w:pPr>
        <w:spacing w:after="120"/>
        <w:jc w:val="both"/>
      </w:pPr>
      <w:r>
        <w:rPr>
          <w:rFonts w:ascii="Arial" w:cs="Arial" w:eastAsia="Arial" w:hAnsi="Arial"/>
          <w:sz w:val="24"/>
          <w:szCs w:val="24"/>
        </w:rPr>
        <w:t xml:space="preserve">3) если оно было лишено права входить в состав органов управления юридического лица или заниматься профессиональной деятельностью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4) если оно является членом исполнительного органа банковской холдинговой компании.</w:t>
      </w:r>
    </w:p>
    <w:p>
      <w:pPr>
        <w:spacing w:after="120"/>
        <w:jc w:val="both"/>
      </w:pPr>
      <w:r>
        <w:rPr>
          <w:rFonts w:ascii="Arial" w:cs="Arial" w:eastAsia="Arial" w:hAnsi="Arial"/>
          <w:sz w:val="24"/>
          <w:szCs w:val="24"/>
        </w:rPr>
        <w:t xml:space="preserve">35. Наблюдательный и исполнительный органы банковской холдинговой компании или банка, стоящего во главе банковской группы несут ответственность за установление и реализацию общих политик и стратегии банковской группы с целью определения оптимальной структуры управления ее дочерними/зависимыми банками и дочерними/зависимыми компаниями, которая будет содействовать осуществлению эффективного и последовательного контроля за деятельностью банковской группы в целом.</w:t>
      </w:r>
    </w:p>
    <w:p>
      <w:pPr>
        <w:spacing w:after="120"/>
        <w:jc w:val="both"/>
      </w:pPr>
      <w:r>
        <w:rPr>
          <w:rFonts w:ascii="Arial" w:cs="Arial" w:eastAsia="Arial" w:hAnsi="Arial"/>
          <w:sz w:val="24"/>
          <w:szCs w:val="24"/>
        </w:rPr>
        <w:t xml:space="preserve">36. Наблюдательный орган банковской холдинговой компании или банка, стоящего во главе банковской группы должен:</w:t>
      </w:r>
    </w:p>
    <w:p>
      <w:pPr>
        <w:spacing w:after="120"/>
        <w:jc w:val="both"/>
      </w:pPr>
      <w:r>
        <w:rPr>
          <w:rFonts w:ascii="Arial" w:cs="Arial" w:eastAsia="Arial" w:hAnsi="Arial"/>
          <w:sz w:val="24"/>
          <w:szCs w:val="24"/>
        </w:rPr>
        <w:t xml:space="preserve">1) предоставлять в Национальный банк сведения о структуре банковской группы, информацию об участниках банковской группы, включая сведения об основной деятельности участников группы, политики банковской группы по управлению рисками и по внутреннему контролю, утвержденные наблюдательным органом банковской холдинговой компании, сведения о контролирующих участников банковской группы лицах, сведения о лицах, которые осуществляют реальный контроль в банковской группе, сведения о финансовом состоянии участников группы;</w:t>
      </w:r>
    </w:p>
    <w:p>
      <w:pPr>
        <w:spacing w:after="120"/>
        <w:jc w:val="both"/>
      </w:pPr>
      <w:r>
        <w:rPr>
          <w:rFonts w:ascii="Arial" w:cs="Arial" w:eastAsia="Arial" w:hAnsi="Arial"/>
          <w:sz w:val="24"/>
          <w:szCs w:val="24"/>
        </w:rPr>
        <w:t xml:space="preserve">2) представлять в Национальный банк утвержденную стратегию развития банковской группы и банковской холдинговой компании на предстоящий трехлетний период деятельности;</w:t>
      </w:r>
    </w:p>
    <w:p>
      <w:pPr>
        <w:spacing w:after="120"/>
        <w:jc w:val="both"/>
      </w:pPr>
      <w:r>
        <w:rPr>
          <w:rFonts w:ascii="Arial" w:cs="Arial" w:eastAsia="Arial" w:hAnsi="Arial"/>
          <w:sz w:val="24"/>
          <w:szCs w:val="24"/>
        </w:rPr>
        <w:t xml:space="preserve">3) разработать и утвердить политику по адекватной капитализации банковской группы для покрытия рисков, характерных для деятельности банковской группы, удовлетворяющую регулятивным, рыночным и стратегическим потребностям банковской группы;</w:t>
      </w:r>
    </w:p>
    <w:p>
      <w:pPr>
        <w:spacing w:after="120"/>
        <w:jc w:val="both"/>
      </w:pPr>
      <w:r>
        <w:rPr>
          <w:rFonts w:ascii="Arial" w:cs="Arial" w:eastAsia="Arial" w:hAnsi="Arial"/>
          <w:sz w:val="24"/>
          <w:szCs w:val="24"/>
        </w:rPr>
        <w:t xml:space="preserve">4) разработать и утвердить политику по выявлению и управлению всеми рисками, связанными с участниками банковской группы или видами деятельности;</w:t>
      </w:r>
    </w:p>
    <w:p>
      <w:pPr>
        <w:spacing w:after="120"/>
        <w:jc w:val="both"/>
      </w:pPr>
      <w:r>
        <w:rPr>
          <w:rFonts w:ascii="Arial" w:cs="Arial" w:eastAsia="Arial" w:hAnsi="Arial"/>
          <w:sz w:val="24"/>
          <w:szCs w:val="24"/>
        </w:rPr>
        <w:t xml:space="preserve">5) установить соответствующие лимиты по операциям с участниками банковской группы;</w:t>
      </w:r>
    </w:p>
    <w:p>
      <w:pPr>
        <w:spacing w:after="120"/>
        <w:jc w:val="both"/>
      </w:pPr>
      <w:r>
        <w:rPr>
          <w:rFonts w:ascii="Arial" w:cs="Arial" w:eastAsia="Arial" w:hAnsi="Arial"/>
          <w:sz w:val="24"/>
          <w:szCs w:val="24"/>
        </w:rPr>
        <w:t xml:space="preserve">6) осуществлять контроль соблюдения банковской группой требований законодательства и внутренних политик;</w:t>
      </w:r>
    </w:p>
    <w:p>
      <w:pPr>
        <w:spacing w:after="120"/>
        <w:jc w:val="both"/>
      </w:pPr>
      <w:r>
        <w:rPr>
          <w:rFonts w:ascii="Arial" w:cs="Arial" w:eastAsia="Arial" w:hAnsi="Arial"/>
          <w:sz w:val="24"/>
          <w:szCs w:val="24"/>
        </w:rPr>
        <w:t xml:space="preserve">7) обеспечить надлежащий обмен необходимой информацией между всеми участниками банковской группы;</w:t>
      </w:r>
    </w:p>
    <w:p>
      <w:pPr>
        <w:spacing w:after="120"/>
        <w:jc w:val="both"/>
      </w:pPr>
      <w:r>
        <w:rPr>
          <w:rFonts w:ascii="Arial" w:cs="Arial" w:eastAsia="Arial" w:hAnsi="Arial"/>
          <w:sz w:val="24"/>
          <w:szCs w:val="24"/>
        </w:rPr>
        <w:t xml:space="preserve">8) обеспечить безопасность и надежность управления, гарантирующую защиту вкладчиков банков, входящих в банковскую группу, и других кредиторов банковской группы.</w:t>
      </w:r>
    </w:p>
    <w:p>
      <w:pPr>
        <w:spacing w:after="120"/>
        <w:jc w:val="both"/>
      </w:pPr>
      <w:r>
        <w:rPr>
          <w:rFonts w:ascii="Arial" w:cs="Arial" w:eastAsia="Arial" w:hAnsi="Arial"/>
          <w:sz w:val="24"/>
          <w:szCs w:val="24"/>
        </w:rPr>
        <w:t xml:space="preserve">37. Наблюдательный орган банковской холдинговой компании или банка, стоящего во главе банковской группы, в целях повышения эффективности корпоративного управления, устанавливает требования о включении в проверку адекватности внутреннего контроля при осуществлении всех видов деятельности участников банковской группы на предмет соблюдения стратегических целей и законодательства, оценки рисков, возникающих от деятельности участников банковской группы.</w:t>
      </w:r>
    </w:p>
    <w:p>
      <w:pPr>
        <w:spacing w:after="120"/>
        <w:jc w:val="both"/>
      </w:pPr>
      <w:r>
        <w:rPr>
          <w:rFonts w:ascii="Arial" w:cs="Arial" w:eastAsia="Arial" w:hAnsi="Arial"/>
          <w:sz w:val="24"/>
          <w:szCs w:val="24"/>
        </w:rPr>
        <w:t xml:space="preserve">38. Наблюдательный и исполнительный органы банковской холдинговой компании или банка, стоящего во главе банковской группы должны знать о рисках, которые могут повлиять на деятельность участников банковской группы, следовательно, должны осуществлять соответствующий контроль их деятельности. Исполнительный орган не реже одного раза в квартал, а при необходимости - незамедлительно, информирует Наблюдательный орган в письменной форме о рисках, имеющих место в деятельности банковской холдинговой компании или банка, стоящего во главе банковской группы и банковской группы, а также о мерах, предпринимаемых по их своевременному выявлению и устранению.</w:t>
      </w:r>
    </w:p>
    <w:p>
      <w:pPr>
        <w:spacing w:after="120"/>
        <w:jc w:val="both"/>
      </w:pPr>
      <w:r>
        <w:rPr>
          <w:rFonts w:ascii="Arial" w:cs="Arial" w:eastAsia="Arial" w:hAnsi="Arial"/>
          <w:sz w:val="24"/>
          <w:szCs w:val="24"/>
        </w:rPr>
        <w:t xml:space="preserve">39. Банковская холдинговая компания должна иметь Комитет по аудиту, состоящий из 3-5 членов наблюдательного органа, назначаемых общим собранием акционеров на один год. Члены исполнительного органа банковской холдинговой компании или ее сотрудники не должны одновременно быть членами Комитета по аудиту. Член Комитета по аудиту не может быть членом исполнительного органа или сотрудником дочернего банка или дочерней компании банковской холдинговой компании.</w:t>
      </w:r>
    </w:p>
    <w:p>
      <w:pPr>
        <w:spacing w:after="120"/>
        <w:jc w:val="both"/>
      </w:pPr>
      <w:r>
        <w:rPr>
          <w:rFonts w:ascii="Arial" w:cs="Arial" w:eastAsia="Arial" w:hAnsi="Arial"/>
          <w:sz w:val="24"/>
          <w:szCs w:val="24"/>
        </w:rPr>
        <w:t xml:space="preserve">Глава 6.
 Требования к дочерним и зависимым компаниям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Банк может создать или приобрести дочернюю или зависимую компанию. При этом юридические лица, над которыми осуществляют контроль или в которых имеют участие дочерние и/или зависимые компании банковской холдинговой компании или банка, лицензируемого Национальным банком, не вправе создавать и/или приобретать дочерние и/или зависимые компании.</w:t>
      </w:r>
    </w:p>
    <w:p>
      <w:pPr>
        <w:spacing w:after="120"/>
        <w:jc w:val="both"/>
      </w:pPr>
      <w:r>
        <w:rPr>
          <w:rFonts w:ascii="Arial" w:cs="Arial" w:eastAsia="Arial" w:hAnsi="Arial"/>
          <w:sz w:val="24"/>
          <w:szCs w:val="24"/>
        </w:rPr>
        <w:t xml:space="preserve">41. Дочерние и/или зависимые компании, входящие в банковскую группу, могут осуществлять только следующие виды деятельности:</w:t>
      </w:r>
    </w:p>
    <w:p>
      <w:pPr>
        <w:spacing w:after="120"/>
        <w:jc w:val="both"/>
      </w:pPr>
      <w:r>
        <w:rPr>
          <w:rFonts w:ascii="Arial" w:cs="Arial" w:eastAsia="Arial" w:hAnsi="Arial"/>
          <w:sz w:val="24"/>
          <w:szCs w:val="24"/>
        </w:rPr>
        <w:t xml:space="preserve">1) банковская деятельность;</w:t>
      </w:r>
    </w:p>
    <w:p>
      <w:pPr>
        <w:spacing w:after="120"/>
        <w:jc w:val="both"/>
      </w:pPr>
      <w:r>
        <w:rPr>
          <w:rFonts w:ascii="Arial" w:cs="Arial" w:eastAsia="Arial" w:hAnsi="Arial"/>
          <w:sz w:val="24"/>
          <w:szCs w:val="24"/>
        </w:rPr>
        <w:t xml:space="preserve">2) микрофинансовая деятельность в соответствии с </w:t>
      </w:r>
      <w:hyperlink w:history="1" r:id="rId8ddlxntq5kmd1jkhd5zl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jc w:val="both"/>
      </w:pPr>
      <w:r>
        <w:rPr>
          <w:rFonts w:ascii="Arial" w:cs="Arial" w:eastAsia="Arial" w:hAnsi="Arial"/>
          <w:sz w:val="24"/>
          <w:szCs w:val="24"/>
        </w:rPr>
        <w:t xml:space="preserve">3) деятельность инвестиционных фондов в соответствии с </w:t>
      </w:r>
      <w:hyperlink w:history="1" r:id="rIdoxf8baonooouslib8sor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инвестиционных фондах";</w:t>
      </w:r>
    </w:p>
    <w:p>
      <w:pPr>
        <w:spacing w:after="120"/>
        <w:jc w:val="both"/>
      </w:pPr>
      <w:r>
        <w:rPr>
          <w:rFonts w:ascii="Arial" w:cs="Arial" w:eastAsia="Arial" w:hAnsi="Arial"/>
          <w:sz w:val="24"/>
          <w:szCs w:val="24"/>
        </w:rPr>
        <w:t xml:space="preserve">4) страховая деятельность в соответствии с </w:t>
      </w:r>
      <w:hyperlink w:history="1" r:id="rIduxeyeilkopffrrj2017k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организации страхования в Кыргызской Республике";</w:t>
      </w:r>
    </w:p>
    <w:p>
      <w:pPr>
        <w:spacing w:after="120"/>
        <w:jc w:val="both"/>
      </w:pPr>
      <w:r>
        <w:rPr>
          <w:rFonts w:ascii="Arial" w:cs="Arial" w:eastAsia="Arial" w:hAnsi="Arial"/>
          <w:sz w:val="24"/>
          <w:szCs w:val="24"/>
        </w:rPr>
        <w:t xml:space="preserve">5) аудиторская деятельность в соответствии с </w:t>
      </w:r>
      <w:hyperlink w:history="1" r:id="rIdi_td8ozhouwfuhybk6oq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w:t>
      </w:r>
    </w:p>
    <w:p>
      <w:pPr>
        <w:spacing w:after="120"/>
        <w:jc w:val="both"/>
      </w:pPr>
      <w:r>
        <w:rPr>
          <w:rFonts w:ascii="Arial" w:cs="Arial" w:eastAsia="Arial" w:hAnsi="Arial"/>
          <w:sz w:val="24"/>
          <w:szCs w:val="24"/>
        </w:rPr>
        <w:t xml:space="preserve">6) деятельность по организации и ведению бухгалтерского учета в соответствии с </w:t>
      </w:r>
      <w:hyperlink w:history="1" r:id="rIdiytgqdywfgvcrcn-b8kw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w:t>
      </w:r>
    </w:p>
    <w:p>
      <w:pPr>
        <w:spacing w:after="120"/>
        <w:jc w:val="both"/>
      </w:pPr>
      <w:r>
        <w:rPr>
          <w:rFonts w:ascii="Arial" w:cs="Arial" w:eastAsia="Arial" w:hAnsi="Arial"/>
          <w:sz w:val="24"/>
          <w:szCs w:val="24"/>
        </w:rPr>
        <w:t xml:space="preserve">7) лизинговая деятельность;</w:t>
      </w:r>
    </w:p>
    <w:p>
      <w:pPr>
        <w:spacing w:after="120"/>
        <w:jc w:val="both"/>
      </w:pPr>
      <w:r>
        <w:rPr>
          <w:rFonts w:ascii="Arial" w:cs="Arial" w:eastAsia="Arial" w:hAnsi="Arial"/>
          <w:sz w:val="24"/>
          <w:szCs w:val="24"/>
        </w:rPr>
        <w:t xml:space="preserve">8) деятельность ломбардов;</w:t>
      </w:r>
    </w:p>
    <w:p>
      <w:pPr>
        <w:spacing w:after="120"/>
        <w:jc w:val="both"/>
      </w:pPr>
      <w:r>
        <w:rPr>
          <w:rFonts w:ascii="Arial" w:cs="Arial" w:eastAsia="Arial" w:hAnsi="Arial"/>
          <w:sz w:val="24"/>
          <w:szCs w:val="24"/>
        </w:rPr>
        <w:t xml:space="preserve">9) деятельность по оказанию платежных услуг:</w:t>
      </w:r>
    </w:p>
    <w:p>
      <w:pPr>
        <w:spacing w:after="120"/>
        <w:jc w:val="both"/>
      </w:pPr>
      <w:r>
        <w:rPr>
          <w:rFonts w:ascii="Arial" w:cs="Arial" w:eastAsia="Arial" w:hAnsi="Arial"/>
          <w:sz w:val="24"/>
          <w:szCs w:val="24"/>
        </w:rPr>
        <w:t xml:space="preserve">- прием и проведение платежей и расчетов в пользу третьих лиц без открытия счета;</w:t>
      </w:r>
    </w:p>
    <w:p>
      <w:pPr>
        <w:spacing w:after="120"/>
        <w:jc w:val="both"/>
      </w:pPr>
      <w:r>
        <w:rPr>
          <w:rFonts w:ascii="Arial" w:cs="Arial" w:eastAsia="Arial" w:hAnsi="Arial"/>
          <w:sz w:val="24"/>
          <w:szCs w:val="24"/>
        </w:rPr>
        <w:t xml:space="preserve">- прием, обработка и выдача финансовой информации (процессинг) по платежам и расчетам третьих лиц участникам платежных систем;</w:t>
      </w:r>
    </w:p>
    <w:p>
      <w:pPr>
        <w:spacing w:after="120"/>
        <w:jc w:val="both"/>
      </w:pPr>
      <w:r>
        <w:rPr>
          <w:rFonts w:ascii="Arial" w:cs="Arial" w:eastAsia="Arial" w:hAnsi="Arial"/>
          <w:sz w:val="24"/>
          <w:szCs w:val="24"/>
        </w:rPr>
        <w:t xml:space="preserve">-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pPr>
        <w:spacing w:after="120"/>
        <w:jc w:val="both"/>
      </w:pPr>
      <w:r>
        <w:rPr>
          <w:rFonts w:ascii="Arial" w:cs="Arial" w:eastAsia="Arial" w:hAnsi="Arial"/>
          <w:sz w:val="24"/>
          <w:szCs w:val="24"/>
        </w:rPr>
        <w:t xml:space="preserve">- выпуск, распространение, прием к оплате и подтверждение предоплаченных карт в эквиваленте электронных денег;</w:t>
      </w:r>
    </w:p>
    <w:p>
      <w:pPr>
        <w:spacing w:after="120"/>
        <w:jc w:val="both"/>
      </w:pPr>
      <w:r>
        <w:rPr>
          <w:rFonts w:ascii="Arial" w:cs="Arial" w:eastAsia="Arial" w:hAnsi="Arial"/>
          <w:sz w:val="24"/>
          <w:szCs w:val="24"/>
        </w:rPr>
        <w:t xml:space="preserve">10) покупка и продажа долговых обязательств (факторинг);</w:t>
      </w:r>
    </w:p>
    <w:p>
      <w:pPr>
        <w:spacing w:after="120"/>
        <w:jc w:val="both"/>
      </w:pPr>
      <w:r>
        <w:rPr>
          <w:rFonts w:ascii="Arial" w:cs="Arial" w:eastAsia="Arial" w:hAnsi="Arial"/>
          <w:sz w:val="24"/>
          <w:szCs w:val="24"/>
        </w:rPr>
        <w:t xml:space="preserve">11) приобретение права требования от третьих лиц исполнения обязательств в денежной форме;</w:t>
      </w:r>
    </w:p>
    <w:p>
      <w:pPr>
        <w:spacing w:after="120"/>
        <w:jc w:val="both"/>
      </w:pPr>
      <w:r>
        <w:rPr>
          <w:rFonts w:ascii="Arial" w:cs="Arial" w:eastAsia="Arial" w:hAnsi="Arial"/>
          <w:sz w:val="24"/>
          <w:szCs w:val="24"/>
        </w:rPr>
        <w:t xml:space="preserve">12) осуществление брокерских услуг, включая покупку и продажу ценных бумаг по поручению клиента, действуя по инструкциям клиента;</w:t>
      </w:r>
    </w:p>
    <w:p>
      <w:pPr>
        <w:spacing w:after="120"/>
        <w:jc w:val="both"/>
      </w:pPr>
      <w:r>
        <w:rPr>
          <w:rFonts w:ascii="Arial" w:cs="Arial" w:eastAsia="Arial" w:hAnsi="Arial"/>
          <w:sz w:val="24"/>
          <w:szCs w:val="24"/>
        </w:rPr>
        <w:t xml:space="preserve">13) осуществление доверительного управления (траст) имуществом по договору с физическим или юридическим лицом;</w:t>
      </w:r>
    </w:p>
    <w:p>
      <w:pPr>
        <w:spacing w:after="120"/>
        <w:jc w:val="both"/>
      </w:pPr>
      <w:r>
        <w:rPr>
          <w:rFonts w:ascii="Arial" w:cs="Arial" w:eastAsia="Arial" w:hAnsi="Arial"/>
          <w:sz w:val="24"/>
          <w:szCs w:val="24"/>
        </w:rPr>
        <w:t xml:space="preserve">14) выпуск от своего имени ценных бумаг в соответствии с нормативными правовыми актами, за исключением выпуска долговых ценных бумаг;</w:t>
      </w:r>
    </w:p>
    <w:p>
      <w:pPr>
        <w:spacing w:after="120"/>
        <w:jc w:val="both"/>
      </w:pPr>
      <w:r>
        <w:rPr>
          <w:rFonts w:ascii="Arial" w:cs="Arial" w:eastAsia="Arial" w:hAnsi="Arial"/>
          <w:sz w:val="24"/>
          <w:szCs w:val="24"/>
        </w:rPr>
        <w:t xml:space="preserve">15) покупка и продажа ценных бумаг для компании от своего имени в соответствии с нормативными правовыми актами;</w:t>
      </w:r>
    </w:p>
    <w:p>
      <w:pPr>
        <w:spacing w:after="120"/>
        <w:jc w:val="both"/>
      </w:pPr>
      <w:r>
        <w:rPr>
          <w:rFonts w:ascii="Arial" w:cs="Arial" w:eastAsia="Arial" w:hAnsi="Arial"/>
          <w:sz w:val="24"/>
          <w:szCs w:val="24"/>
        </w:rPr>
        <w:t xml:space="preserve">16) оказание консультационных и информационных услуг, связанных с деятельностью компании.</w:t>
      </w:r>
    </w:p>
    <w:p>
      <w:pPr>
        <w:spacing w:after="120"/>
        <w:jc w:val="both"/>
      </w:pPr>
      <w:r>
        <w:rPr>
          <w:rFonts w:ascii="Arial" w:cs="Arial" w:eastAsia="Arial" w:hAnsi="Arial"/>
          <w:sz w:val="24"/>
          <w:szCs w:val="24"/>
        </w:rPr>
        <w:t xml:space="preserve">42. Создание или приобретение банком дочерней или зависимой компании осуществляется на основании письменного разрешения Национального банка.</w:t>
      </w:r>
    </w:p>
    <w:p>
      <w:pPr>
        <w:spacing w:after="120"/>
        <w:jc w:val="both"/>
      </w:pPr>
      <w:r>
        <w:rPr>
          <w:rFonts w:ascii="Arial" w:cs="Arial" w:eastAsia="Arial" w:hAnsi="Arial"/>
          <w:sz w:val="24"/>
          <w:szCs w:val="24"/>
        </w:rPr>
        <w:t xml:space="preserve">43. Создание и/или приобретение банком дочерней или зависимой компании осуществляется в соответствии с порядком, установленным нормативными правовыми актами Национального банка.</w:t>
      </w:r>
    </w:p>
    <w:p>
      <w:pPr>
        <w:spacing w:after="120"/>
        <w:jc w:val="both"/>
      </w:pPr>
      <w:r>
        <w:rPr>
          <w:rFonts w:ascii="Arial" w:cs="Arial" w:eastAsia="Arial" w:hAnsi="Arial"/>
          <w:sz w:val="24"/>
          <w:szCs w:val="24"/>
        </w:rPr>
        <w:t xml:space="preserve">44. Создание или приобретение дочерней или зависимой компании не должно нарушать прозрачность организационной структуры банковской группы.</w:t>
      </w:r>
    </w:p>
    <w:p>
      <w:pPr>
        <w:spacing w:after="120"/>
        <w:jc w:val="both"/>
      </w:pPr>
      <w:r>
        <w:rPr>
          <w:rFonts w:ascii="Arial" w:cs="Arial" w:eastAsia="Arial" w:hAnsi="Arial"/>
          <w:sz w:val="24"/>
          <w:szCs w:val="24"/>
        </w:rPr>
        <w:t xml:space="preserve">45. Если приобретаемая или создаваемая компания является иностранной и подлежит регулированию со стороны органа надзора за финансовым сектором, то заявка должна содержать информацию о надзорном режиме, которому подлежит данная компания в стране своего происхождения.</w:t>
      </w:r>
    </w:p>
    <w:p>
      <w:pPr>
        <w:spacing w:after="120"/>
        <w:jc w:val="both"/>
      </w:pPr>
      <w:r>
        <w:rPr>
          <w:rFonts w:ascii="Arial" w:cs="Arial" w:eastAsia="Arial" w:hAnsi="Arial"/>
          <w:sz w:val="24"/>
          <w:szCs w:val="24"/>
        </w:rPr>
        <w:t xml:space="preserve">46. Банк, который создает или приобретает иностранную дочернюю или зависимую компанию, должен обеспечить:</w:t>
      </w:r>
    </w:p>
    <w:p>
      <w:pPr>
        <w:spacing w:after="120"/>
        <w:jc w:val="both"/>
      </w:pPr>
      <w:r>
        <w:rPr>
          <w:rFonts w:ascii="Arial" w:cs="Arial" w:eastAsia="Arial" w:hAnsi="Arial"/>
          <w:sz w:val="24"/>
          <w:szCs w:val="24"/>
        </w:rPr>
        <w:t xml:space="preserve">1) предоставление в банк дочерней или зависимой компанией всей информации, необходимой для выполнения банком требований настоящего Положения;</w:t>
      </w:r>
    </w:p>
    <w:p>
      <w:pPr>
        <w:spacing w:after="120"/>
        <w:jc w:val="both"/>
      </w:pPr>
      <w:r>
        <w:rPr>
          <w:rFonts w:ascii="Arial" w:cs="Arial" w:eastAsia="Arial" w:hAnsi="Arial"/>
          <w:sz w:val="24"/>
          <w:szCs w:val="24"/>
        </w:rPr>
        <w:t xml:space="preserve">2) предотвращение установления общих интересов с другими лицами, которые могут привести к нарушению требований Национального банка относительно прозрачности структуры банковской группы.</w:t>
      </w:r>
    </w:p>
    <w:p>
      <w:pPr>
        <w:spacing w:after="120"/>
        <w:jc w:val="both"/>
      </w:pPr>
      <w:r>
        <w:rPr>
          <w:rFonts w:ascii="Arial" w:cs="Arial" w:eastAsia="Arial" w:hAnsi="Arial"/>
          <w:sz w:val="24"/>
          <w:szCs w:val="24"/>
        </w:rPr>
        <w:t xml:space="preserve">47. Национальный банк может отозвать свое согласие на создание или приобретение дочерней, зависимой компании, если станут известны факты, на основании которых может быть отказано в выдаче разрешения на создание банка, или если дочерняя или зависимая компания участвует в деятельности, не разрешенной законодательством Кыргызской Республики.</w:t>
      </w:r>
    </w:p>
    <w:p>
      <w:pPr>
        <w:spacing w:after="120"/>
        <w:jc w:val="both"/>
      </w:pPr>
      <w:r>
        <w:rPr>
          <w:rFonts w:ascii="Arial" w:cs="Arial" w:eastAsia="Arial" w:hAnsi="Arial"/>
          <w:sz w:val="24"/>
          <w:szCs w:val="24"/>
        </w:rPr>
        <w:t xml:space="preserve">48. В случае отзыва Национальным банком своего разрешения, банк должен продать принадлежащие ему акции дочерней компании лицам, не связанным с банком в течение срока, определенного Национальным банком.</w:t>
      </w:r>
    </w:p>
    <w:p>
      <w:pPr>
        <w:spacing w:after="120"/>
        <w:jc w:val="both"/>
      </w:pPr>
      <w:r>
        <w:rPr>
          <w:rFonts w:ascii="Arial" w:cs="Arial" w:eastAsia="Arial" w:hAnsi="Arial"/>
          <w:sz w:val="24"/>
          <w:szCs w:val="24"/>
        </w:rPr>
        <w:t xml:space="preserve">49. Если банк создает или приобретает дочернюю, зависимую компанию без предварительного письменного согласия Национального банка, такая сделка является ничтожной.</w:t>
      </w:r>
    </w:p>
    <w:p>
      <w:pPr>
        <w:spacing w:after="120"/>
        <w:jc w:val="both"/>
      </w:pPr>
      <w:r>
        <w:rPr>
          <w:rFonts w:ascii="Arial" w:cs="Arial" w:eastAsia="Arial" w:hAnsi="Arial"/>
          <w:sz w:val="24"/>
          <w:szCs w:val="24"/>
        </w:rPr>
        <w:t xml:space="preserve">Глава 7.
 Экономические нормативы, устанавливаемые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Национальный банк устанавливает следующие экономические нормативы и требования, обязательные для выполнения банковской группой:</w:t>
      </w:r>
    </w:p>
    <w:p>
      <w:pPr>
        <w:spacing w:after="120"/>
        <w:jc w:val="both"/>
      </w:pPr>
      <w:r>
        <w:rPr>
          <w:rFonts w:ascii="Arial" w:cs="Arial" w:eastAsia="Arial" w:hAnsi="Arial"/>
          <w:sz w:val="24"/>
          <w:szCs w:val="24"/>
        </w:rPr>
        <w:t xml:space="preserve">1) коэффициент адекватности капитала (собственных средств);</w:t>
      </w:r>
    </w:p>
    <w:p>
      <w:pPr>
        <w:spacing w:after="120"/>
        <w:jc w:val="both"/>
      </w:pPr>
      <w:r>
        <w:rPr>
          <w:rFonts w:ascii="Arial" w:cs="Arial" w:eastAsia="Arial" w:hAnsi="Arial"/>
          <w:sz w:val="24"/>
          <w:szCs w:val="24"/>
        </w:rPr>
        <w:t xml:space="preserve">2) максимальный размер риска на одного заемщика;</w:t>
      </w:r>
    </w:p>
    <w:p>
      <w:pPr>
        <w:spacing w:after="120"/>
        <w:jc w:val="both"/>
      </w:pPr>
      <w:r>
        <w:rPr>
          <w:rFonts w:ascii="Arial" w:cs="Arial" w:eastAsia="Arial" w:hAnsi="Arial"/>
          <w:sz w:val="24"/>
          <w:szCs w:val="24"/>
        </w:rPr>
        <w:t xml:space="preserve">3) норматив ликвидности;</w:t>
      </w:r>
    </w:p>
    <w:p>
      <w:pPr>
        <w:spacing w:after="120"/>
        <w:jc w:val="both"/>
      </w:pPr>
      <w:r>
        <w:rPr>
          <w:rFonts w:ascii="Arial" w:cs="Arial" w:eastAsia="Arial" w:hAnsi="Arial"/>
          <w:sz w:val="24"/>
          <w:szCs w:val="24"/>
        </w:rPr>
        <w:t xml:space="preserve">4) другие нормативы и требования, необходимые для снижения рисков банковской группы и защиты интересов вкладчиков банков, входящих в данную группу.</w:t>
      </w:r>
    </w:p>
    <w:p>
      <w:pPr>
        <w:spacing w:after="120"/>
        <w:jc w:val="both"/>
      </w:pPr>
      <w:r>
        <w:rPr>
          <w:rFonts w:ascii="Arial" w:cs="Arial" w:eastAsia="Arial" w:hAnsi="Arial"/>
          <w:sz w:val="24"/>
          <w:szCs w:val="24"/>
        </w:rPr>
        <w:t xml:space="preserve">51. Коэффициент адекватности капитала (собственных средств) банковской группы (К) должен быть не менее 12%. Он определяется как отношение суммы чистого суммарного капитала коммерческого банка, входящего в состав банковской группы, и собственных капиталов (собственных средств) участников банковской группы к сумме активов коммерческого банка, входящего в состав банковской группы, взвешенных по степени риска, и суммарных активов участников банковской группы по формуле:</w:t>
      </w:r>
    </w:p>
    <w:p>
      <w:pPr>
        <w:spacing w:after="120"/>
        <w:jc w:val="both"/>
      </w:pPr>
      <w:r>
        <w:rPr>
          <w:rFonts w:ascii="Arial" w:cs="Arial" w:eastAsia="Arial" w:hAnsi="Arial"/>
          <w:sz w:val="24"/>
          <w:szCs w:val="24"/>
        </w:rPr>
        <w:t xml:space="preserve">К = СК / СА х 100%, где:</w:t>
      </w:r>
    </w:p>
    <w:p>
      <w:pPr>
        <w:spacing w:after="120"/>
        <w:jc w:val="both"/>
      </w:pPr>
      <w:r>
        <w:rPr>
          <w:rFonts w:ascii="Arial" w:cs="Arial" w:eastAsia="Arial" w:hAnsi="Arial"/>
          <w:sz w:val="24"/>
          <w:szCs w:val="24"/>
        </w:rPr>
        <w:t xml:space="preserve">СК - сумма чистого суммарного капитала коммерческого банка, входящего в состав банковской группы, и собственных капиталов (собственных средств) участников банковской группы.</w:t>
      </w:r>
    </w:p>
    <w:p>
      <w:pPr>
        <w:spacing w:after="120"/>
        <w:jc w:val="both"/>
      </w:pPr>
      <w:r>
        <w:rPr>
          <w:rFonts w:ascii="Arial" w:cs="Arial" w:eastAsia="Arial" w:hAnsi="Arial"/>
          <w:sz w:val="24"/>
          <w:szCs w:val="24"/>
        </w:rPr>
        <w:t xml:space="preserve">СА - сумма суммарных активов участников банковской группы и активов коммерческого банка, входящего в состав банковской группы, взвешенных по степени риска, за минусом инвестиций банка в дочерние и/или зависимые компании.</w:t>
      </w:r>
    </w:p>
    <w:p>
      <w:pPr>
        <w:spacing w:after="120"/>
        <w:jc w:val="both"/>
      </w:pPr>
      <w:r>
        <w:rPr>
          <w:rFonts w:ascii="Arial" w:cs="Arial" w:eastAsia="Arial" w:hAnsi="Arial"/>
          <w:sz w:val="24"/>
          <w:szCs w:val="24"/>
        </w:rPr>
        <w:t xml:space="preserve">Чистый суммарный капитал и активы, взвешенные по степени риска коммерческого банка, входящего в состав банковской группы определяются согласно Инструкции по определению стандартов адекватности капитала коммерческих банков Кыргызской Республики(6). При этом при расчете чистого суммарного капитала коммерческого банка, входящего в состав банковской группы исключаются инвестиции в уставный капитал участников банковской группы.</w:t>
      </w:r>
    </w:p>
    <w:p>
      <w:pPr>
        <w:spacing w:after="120"/>
        <w:jc w:val="both"/>
      </w:pPr>
      <w:r>
        <w:rPr>
          <w:rFonts w:ascii="Arial" w:cs="Arial" w:eastAsia="Arial" w:hAnsi="Arial"/>
          <w:sz w:val="24"/>
          <w:szCs w:val="24"/>
        </w:rPr>
        <w:t xml:space="preserve">Размер собственного капитала участника банковской группы определяется в соответствии с требованиями нормативных правовых актов Кыргызской Республики.</w:t>
      </w:r>
    </w:p>
    <w:p>
      <w:pPr>
        <w:spacing w:after="120"/>
        <w:jc w:val="both"/>
      </w:pPr>
      <w:r>
        <w:rPr>
          <w:rFonts w:ascii="Arial" w:cs="Arial" w:eastAsia="Arial" w:hAnsi="Arial"/>
          <w:sz w:val="24"/>
          <w:szCs w:val="24"/>
        </w:rPr>
        <w:t xml:space="preserve">Размер собственного капитала участника банковской группы, являющегося нерезидентом Кыргызской Республики, определяется нормативными правовыми актами уполномоченного органа, регулирующего его деятельность в стране его нахождения.</w:t>
      </w:r>
    </w:p>
    <w:p>
      <w:pPr>
        <w:spacing w:after="120"/>
        <w:jc w:val="both"/>
      </w:pPr>
      <w:r>
        <w:rPr>
          <w:rFonts w:ascii="Arial" w:cs="Arial" w:eastAsia="Arial" w:hAnsi="Arial"/>
          <w:sz w:val="24"/>
          <w:szCs w:val="24"/>
        </w:rPr>
        <w:t xml:space="preserve">В случае если в отношении участника банковской группы не установлен особый порядок расчета размера собственного капитала, то капитал участника банковской группы определяется как разница между его активами и обязательствами в соответствии с установленными нормами бухгалтерского учета и формирования финансовой отчетности.</w:t>
      </w:r>
    </w:p>
    <w:p>
      <w:pPr>
        <w:spacing w:after="120"/>
        <w:jc w:val="both"/>
      </w:pPr>
      <w:r>
        <w:rPr>
          <w:rFonts w:ascii="Arial" w:cs="Arial" w:eastAsia="Arial" w:hAnsi="Arial"/>
          <w:sz w:val="24"/>
          <w:szCs w:val="24"/>
        </w:rPr>
        <w:t xml:space="preserve">52. Норматив ликвидности необходимо поддерживать на уровне не ниже 30%.</w:t>
      </w:r>
    </w:p>
    <w:p>
      <w:pPr>
        <w:spacing w:after="120"/>
        <w:jc w:val="both"/>
      </w:pPr>
      <w:r>
        <w:rPr>
          <w:rFonts w:ascii="Arial" w:cs="Arial" w:eastAsia="Arial" w:hAnsi="Arial"/>
          <w:sz w:val="24"/>
          <w:szCs w:val="24"/>
        </w:rPr>
        <w:t xml:space="preserve">Норматив ликвидности определяется по формуле:</w:t>
      </w:r>
    </w:p>
    <w:p>
      <w:pPr>
        <w:spacing w:after="120"/>
        <w:jc w:val="both"/>
      </w:pPr>
      <w:r>
        <w:rPr>
          <w:rFonts w:ascii="Arial" w:cs="Arial" w:eastAsia="Arial" w:hAnsi="Arial"/>
          <w:sz w:val="24"/>
          <w:szCs w:val="24"/>
        </w:rPr>
        <w:t xml:space="preserve">НЛ = ЛА / О, где:</w:t>
      </w:r>
    </w:p>
    <w:p>
      <w:pPr>
        <w:spacing w:after="120"/>
        <w:jc w:val="both"/>
      </w:pPr>
      <w:r>
        <w:rPr>
          <w:rFonts w:ascii="Arial" w:cs="Arial" w:eastAsia="Arial" w:hAnsi="Arial"/>
          <w:sz w:val="24"/>
          <w:szCs w:val="24"/>
        </w:rPr>
        <w:t xml:space="preserve">ЛА - сумма ликвидных активов участников банковской группы, к которым относятся:</w:t>
      </w:r>
    </w:p>
    <w:p>
      <w:pPr>
        <w:spacing w:after="120"/>
        <w:jc w:val="both"/>
      </w:pPr>
      <w:r>
        <w:rPr>
          <w:rFonts w:ascii="Arial" w:cs="Arial" w:eastAsia="Arial" w:hAnsi="Arial"/>
          <w:sz w:val="24"/>
          <w:szCs w:val="24"/>
        </w:rPr>
        <w:t xml:space="preserve">- ликвидные активы банка, участника банковской группы, определенные в соответствии с нормативными правовыми актами Национального банка;</w:t>
      </w:r>
    </w:p>
    <w:p>
      <w:pPr>
        <w:spacing w:after="120"/>
        <w:jc w:val="both"/>
      </w:pPr>
      <w:r>
        <w:rPr>
          <w:rFonts w:ascii="Arial" w:cs="Arial" w:eastAsia="Arial" w:hAnsi="Arial"/>
          <w:sz w:val="24"/>
          <w:szCs w:val="24"/>
        </w:rPr>
        <w:t xml:space="preserve">- ликвидные активы участника банковской группы, определенные в соответствии с законодательством Кыргызской Республики, включающие денежные средства и ценные бумаги, которые могут быть обращены в денежные средства в течение 30 дней с момента оценки, за вычетом заложенных.</w:t>
      </w:r>
    </w:p>
    <w:p>
      <w:pPr>
        <w:spacing w:after="120"/>
        <w:jc w:val="both"/>
      </w:pPr>
      <w:r>
        <w:rPr>
          <w:rFonts w:ascii="Arial" w:cs="Arial" w:eastAsia="Arial" w:hAnsi="Arial"/>
          <w:sz w:val="24"/>
          <w:szCs w:val="24"/>
        </w:rPr>
        <w:t xml:space="preserve">О - сумма обязательств участников банковской группы, к которым для расчета норматива ликвидности относятся:</w:t>
      </w:r>
    </w:p>
    <w:p>
      <w:pPr>
        <w:spacing w:after="120"/>
        <w:jc w:val="both"/>
      </w:pPr>
      <w:r>
        <w:rPr>
          <w:rFonts w:ascii="Arial" w:cs="Arial" w:eastAsia="Arial" w:hAnsi="Arial"/>
          <w:sz w:val="24"/>
          <w:szCs w:val="24"/>
        </w:rPr>
        <w:t xml:space="preserve">- обязательства банка, участника банковской группы, определенные в соответствии с нормативными правовыми актами Национального банка;</w:t>
      </w:r>
    </w:p>
    <w:p>
      <w:pPr>
        <w:spacing w:after="120"/>
        <w:jc w:val="both"/>
      </w:pPr>
      <w:r>
        <w:rPr>
          <w:rFonts w:ascii="Arial" w:cs="Arial" w:eastAsia="Arial" w:hAnsi="Arial"/>
          <w:sz w:val="24"/>
          <w:szCs w:val="24"/>
        </w:rPr>
        <w:t xml:space="preserve">- обязательства участника банковской группы, определенные в соответствии с законодательством Кыргызской Республики, расчеты по которым наступают в течение 30 дней после отчетной даты.</w:t>
      </w:r>
    </w:p>
    <w:p>
      <w:pPr>
        <w:spacing w:after="120"/>
        <w:jc w:val="both"/>
      </w:pPr>
      <w:r>
        <w:rPr>
          <w:rFonts w:ascii="Arial" w:cs="Arial" w:eastAsia="Arial" w:hAnsi="Arial"/>
          <w:sz w:val="24"/>
          <w:szCs w:val="24"/>
        </w:rPr>
        <w:t xml:space="preserve">53. Максимальный размер риска на одного заемщика банковской группы (MP) не должен превышать следующие значения:</w:t>
      </w:r>
    </w:p>
    <w:p>
      <w:pPr>
        <w:spacing w:after="120"/>
        <w:jc w:val="both"/>
      </w:pPr>
      <w:r>
        <w:rPr>
          <w:rFonts w:ascii="Arial" w:cs="Arial" w:eastAsia="Arial" w:hAnsi="Arial"/>
          <w:sz w:val="24"/>
          <w:szCs w:val="24"/>
        </w:rPr>
        <w:t xml:space="preserve">- максимальный размер риска на одного заемщика, не связанного с банковской группой - 15%;</w:t>
      </w:r>
    </w:p>
    <w:p>
      <w:pPr>
        <w:spacing w:after="120"/>
        <w:jc w:val="both"/>
      </w:pPr>
      <w:r>
        <w:rPr>
          <w:rFonts w:ascii="Arial" w:cs="Arial" w:eastAsia="Arial" w:hAnsi="Arial"/>
          <w:sz w:val="24"/>
          <w:szCs w:val="24"/>
        </w:rPr>
        <w:t xml:space="preserve">- максимальный размер риска на одного заемщика, связанного с банковской группой - 10%.</w:t>
      </w:r>
    </w:p>
    <w:p>
      <w:pPr>
        <w:spacing w:after="120"/>
        <w:jc w:val="both"/>
      </w:pPr>
      <w:r>
        <w:rPr>
          <w:rFonts w:ascii="Arial" w:cs="Arial" w:eastAsia="Arial" w:hAnsi="Arial"/>
          <w:sz w:val="24"/>
          <w:szCs w:val="24"/>
        </w:rPr>
        <w:t xml:space="preserve">Норматив максимального размера риска на одного заемщика (MP) рассчитывается следующим образом:</w:t>
      </w:r>
    </w:p>
    <w:p>
      <w:pPr>
        <w:spacing w:after="120"/>
        <w:jc w:val="both"/>
      </w:pPr>
      <w:r>
        <w:rPr>
          <w:rFonts w:ascii="Arial" w:cs="Arial" w:eastAsia="Arial" w:hAnsi="Arial"/>
          <w:sz w:val="24"/>
          <w:szCs w:val="24"/>
        </w:rPr>
        <w:t xml:space="preserve">МР = СЗ / К х 100%, где:</w:t>
      </w:r>
    </w:p>
    <w:p>
      <w:pPr>
        <w:spacing w:after="120"/>
        <w:jc w:val="both"/>
      </w:pPr>
      <w:r>
        <w:rPr>
          <w:rFonts w:ascii="Arial" w:cs="Arial" w:eastAsia="Arial" w:hAnsi="Arial"/>
          <w:sz w:val="24"/>
          <w:szCs w:val="24"/>
        </w:rPr>
        <w:t xml:space="preserve">СЗ - совокупная задолженность, общая задолженность одного заемщика по всем активам, предоставленным ему участниками банковской группы, несущим в себе кредитный риск, в том числе по:</w:t>
      </w:r>
    </w:p>
    <w:p>
      <w:pPr>
        <w:spacing w:after="120"/>
        <w:jc w:val="both"/>
      </w:pPr>
      <w:r>
        <w:rPr>
          <w:rFonts w:ascii="Arial" w:cs="Arial" w:eastAsia="Arial" w:hAnsi="Arial"/>
          <w:sz w:val="24"/>
          <w:szCs w:val="24"/>
        </w:rPr>
        <w:t xml:space="preserve">- кредитам (вне зависимости от срока погашения);</w:t>
      </w:r>
    </w:p>
    <w:p>
      <w:pPr>
        <w:spacing w:after="120"/>
        <w:jc w:val="both"/>
      </w:pPr>
      <w:r>
        <w:rPr>
          <w:rFonts w:ascii="Arial" w:cs="Arial" w:eastAsia="Arial" w:hAnsi="Arial"/>
          <w:sz w:val="24"/>
          <w:szCs w:val="24"/>
        </w:rPr>
        <w:t xml:space="preserve">- факторингу;</w:t>
      </w:r>
    </w:p>
    <w:p>
      <w:pPr>
        <w:spacing w:after="120"/>
        <w:jc w:val="both"/>
      </w:pPr>
      <w:r>
        <w:rPr>
          <w:rFonts w:ascii="Arial" w:cs="Arial" w:eastAsia="Arial" w:hAnsi="Arial"/>
          <w:sz w:val="24"/>
          <w:szCs w:val="24"/>
        </w:rPr>
        <w:t xml:space="preserve">- финансовой аренде;</w:t>
      </w:r>
    </w:p>
    <w:p>
      <w:pPr>
        <w:spacing w:after="120"/>
        <w:jc w:val="both"/>
      </w:pPr>
      <w:r>
        <w:rPr>
          <w:rFonts w:ascii="Arial" w:cs="Arial" w:eastAsia="Arial" w:hAnsi="Arial"/>
          <w:sz w:val="24"/>
          <w:szCs w:val="24"/>
        </w:rPr>
        <w:t xml:space="preserve">- межбанковским размещениям;</w:t>
      </w:r>
    </w:p>
    <w:p>
      <w:pPr>
        <w:spacing w:after="120"/>
        <w:jc w:val="both"/>
      </w:pPr>
      <w:r>
        <w:rPr>
          <w:rFonts w:ascii="Arial" w:cs="Arial" w:eastAsia="Arial" w:hAnsi="Arial"/>
          <w:sz w:val="24"/>
          <w:szCs w:val="24"/>
        </w:rPr>
        <w:t xml:space="preserve">- инвестициям в капитал;</w:t>
      </w:r>
    </w:p>
    <w:p>
      <w:pPr>
        <w:spacing w:after="120"/>
        <w:jc w:val="both"/>
      </w:pPr>
      <w:r>
        <w:rPr>
          <w:rFonts w:ascii="Arial" w:cs="Arial" w:eastAsia="Arial" w:hAnsi="Arial"/>
          <w:sz w:val="24"/>
          <w:szCs w:val="24"/>
        </w:rPr>
        <w:t xml:space="preserve">- инвестициям в форме долговых обязательств;</w:t>
      </w:r>
    </w:p>
    <w:p>
      <w:pPr>
        <w:spacing w:after="120"/>
        <w:jc w:val="both"/>
      </w:pPr>
      <w:r>
        <w:rPr>
          <w:rFonts w:ascii="Arial" w:cs="Arial" w:eastAsia="Arial" w:hAnsi="Arial"/>
          <w:sz w:val="24"/>
          <w:szCs w:val="24"/>
        </w:rPr>
        <w:t xml:space="preserve">- начисленным процентам к получению;</w:t>
      </w:r>
    </w:p>
    <w:p>
      <w:pPr>
        <w:spacing w:after="120"/>
        <w:jc w:val="both"/>
      </w:pPr>
      <w:r>
        <w:rPr>
          <w:rFonts w:ascii="Arial" w:cs="Arial" w:eastAsia="Arial" w:hAnsi="Arial"/>
          <w:sz w:val="24"/>
          <w:szCs w:val="24"/>
        </w:rPr>
        <w:t xml:space="preserve">- любому другому виду прямой или косвенной выдачи средств заемщикам, которые по сути являются кредитными заменителями;</w:t>
      </w:r>
    </w:p>
    <w:p>
      <w:pPr>
        <w:spacing w:after="120"/>
        <w:jc w:val="both"/>
      </w:pPr>
      <w:r>
        <w:rPr>
          <w:rFonts w:ascii="Arial" w:cs="Arial" w:eastAsia="Arial" w:hAnsi="Arial"/>
          <w:sz w:val="24"/>
          <w:szCs w:val="24"/>
        </w:rPr>
        <w:t xml:space="preserve">- сумме забалансовых обязательств (гарантий, аккредитивов, обязательств на выдачу кредитов), выданных данному заемщику;</w:t>
      </w:r>
    </w:p>
    <w:p>
      <w:pPr>
        <w:spacing w:after="120"/>
        <w:jc w:val="both"/>
      </w:pPr>
      <w:r>
        <w:rPr>
          <w:rFonts w:ascii="Arial" w:cs="Arial" w:eastAsia="Arial" w:hAnsi="Arial"/>
          <w:sz w:val="24"/>
          <w:szCs w:val="24"/>
        </w:rPr>
        <w:t xml:space="preserve">- любому риску участника в отношении третьей стороны, который безусловно гарантирован этим заемщиком;</w:t>
      </w:r>
    </w:p>
    <w:p>
      <w:pPr>
        <w:spacing w:after="120"/>
        <w:jc w:val="both"/>
      </w:pPr>
      <w:r>
        <w:rPr>
          <w:rFonts w:ascii="Arial" w:cs="Arial" w:eastAsia="Arial" w:hAnsi="Arial"/>
          <w:sz w:val="24"/>
          <w:szCs w:val="24"/>
        </w:rPr>
        <w:t xml:space="preserve">- ранее списанным кредитам, в том числе процентам. В кредитном деле каждого заемщика должны быть подшиты сведения о ранее списанных кредитах и процентах этого заемщика и связанных с ним лиц, которые должны содержать следующую информацию: имя заемщика и связанных с ним лиц, сумму списанного кредита и процентов, дату списания и причину, по которой данная задолженность была списана.</w:t>
      </w:r>
    </w:p>
    <w:p>
      <w:pPr>
        <w:spacing w:after="120"/>
        <w:jc w:val="both"/>
      </w:pPr>
      <w:r>
        <w:rPr>
          <w:rFonts w:ascii="Arial" w:cs="Arial" w:eastAsia="Arial" w:hAnsi="Arial"/>
          <w:sz w:val="24"/>
          <w:szCs w:val="24"/>
        </w:rPr>
        <w:t xml:space="preserve">К - сумма чистого суммарного капитала коммерческого банка, входящего в состав банковской группы, и собственных капиталов (собственных средств) участников банковской группы.</w:t>
      </w:r>
    </w:p>
    <w:p>
      <w:pPr>
        <w:spacing w:after="120"/>
        <w:jc w:val="both"/>
      </w:pPr>
      <w:r>
        <w:rPr>
          <w:rFonts w:ascii="Arial" w:cs="Arial" w:eastAsia="Arial" w:hAnsi="Arial"/>
          <w:sz w:val="24"/>
          <w:szCs w:val="24"/>
        </w:rPr>
        <w:t xml:space="preserve">Соблюдение максимального размера риска на одного заемщика связанного с банковской группой, осуществляется в случаях, когда заемщик:</w:t>
      </w:r>
    </w:p>
    <w:p>
      <w:pPr>
        <w:spacing w:after="120"/>
        <w:jc w:val="both"/>
      </w:pPr>
      <w:r>
        <w:rPr>
          <w:rFonts w:ascii="Arial" w:cs="Arial" w:eastAsia="Arial" w:hAnsi="Arial"/>
          <w:sz w:val="24"/>
          <w:szCs w:val="24"/>
        </w:rPr>
        <w:t xml:space="preserve">- входит в состав банковской группы;</w:t>
      </w:r>
    </w:p>
    <w:p>
      <w:pPr>
        <w:spacing w:after="120"/>
        <w:jc w:val="both"/>
      </w:pPr>
      <w:r>
        <w:rPr>
          <w:rFonts w:ascii="Arial" w:cs="Arial" w:eastAsia="Arial" w:hAnsi="Arial"/>
          <w:sz w:val="24"/>
          <w:szCs w:val="24"/>
        </w:rPr>
        <w:t xml:space="preserve">- является аффилированным лицом и/или инсайдером участника банковской группы;</w:t>
      </w:r>
    </w:p>
    <w:p>
      <w:pPr>
        <w:spacing w:after="120"/>
        <w:jc w:val="both"/>
      </w:pPr>
      <w:r>
        <w:rPr>
          <w:rFonts w:ascii="Arial" w:cs="Arial" w:eastAsia="Arial" w:hAnsi="Arial"/>
          <w:sz w:val="24"/>
          <w:szCs w:val="24"/>
        </w:rPr>
        <w:t xml:space="preserve">- связан с другим заемщиком договором о совместной деятельности либо иным документом, который содержит признаки договора о совместной деятельности;</w:t>
      </w:r>
    </w:p>
    <w:p>
      <w:pPr>
        <w:spacing w:after="120"/>
        <w:jc w:val="both"/>
      </w:pPr>
      <w:r>
        <w:rPr>
          <w:rFonts w:ascii="Arial" w:cs="Arial" w:eastAsia="Arial" w:hAnsi="Arial"/>
          <w:sz w:val="24"/>
          <w:szCs w:val="24"/>
        </w:rPr>
        <w:t xml:space="preserve">- является лицом, способным оказывать прямое или косвенное (через третьих лиц) существенное влияние на решения, принимаемые органами управления юридических лиц - заемщиков.</w:t>
      </w:r>
    </w:p>
    <w:p>
      <w:pPr>
        <w:spacing w:after="120"/>
        <w:jc w:val="both"/>
      </w:pPr>
      <w:r>
        <w:rPr>
          <w:rFonts w:ascii="Arial" w:cs="Arial" w:eastAsia="Arial" w:hAnsi="Arial"/>
          <w:sz w:val="24"/>
          <w:szCs w:val="24"/>
        </w:rPr>
        <w:t xml:space="preserve">54. Компании, в том числе банки, входящие в банковскую группу, должны выполнять соответствующие требования и экономические нормативы, установленные для них законодательством Кыргызской Республики.</w:t>
      </w:r>
    </w:p>
    <w:p>
      <w:pPr>
        <w:spacing w:after="120"/>
        <w:jc w:val="both"/>
      </w:pPr>
      <w:r>
        <w:rPr>
          <w:rFonts w:ascii="Arial" w:cs="Arial" w:eastAsia="Arial" w:hAnsi="Arial"/>
          <w:sz w:val="24"/>
          <w:szCs w:val="24"/>
        </w:rPr>
        <w:t xml:space="preserve">55. Для выполнения экономических нормативов и снижения рисков, банковской группе рекомендуется установить внутренние пределы по экономическим нормативам и требованиям, которые должны быть ниже максимальных и выше минимальных пределов, установленных соответствующими нормативными правовыми актами Национального банка.</w:t>
      </w:r>
    </w:p>
    <w:p>
      <w:pPr>
        <w:spacing w:after="120"/>
        <w:jc w:val="both"/>
      </w:pPr>
      <w:r>
        <w:rPr>
          <w:rFonts w:ascii="Arial" w:cs="Arial" w:eastAsia="Arial" w:hAnsi="Arial"/>
          <w:sz w:val="24"/>
          <w:szCs w:val="24"/>
        </w:rPr>
        <w:t xml:space="preserve">56. Банк, участник банковской группы не может вступать в сделку и/или осуществлять операции с каким-либо лицом с целью предоставить ему возможность:</w:t>
      </w:r>
    </w:p>
    <w:p>
      <w:pPr>
        <w:spacing w:after="120"/>
        <w:jc w:val="both"/>
      </w:pPr>
      <w:r>
        <w:rPr>
          <w:rFonts w:ascii="Arial" w:cs="Arial" w:eastAsia="Arial" w:hAnsi="Arial"/>
          <w:sz w:val="24"/>
          <w:szCs w:val="24"/>
        </w:rPr>
        <w:t xml:space="preserve">- оплатить обязательство перед инсайдером или аффилированным лицом участника банковской группы;</w:t>
      </w:r>
    </w:p>
    <w:p>
      <w:pPr>
        <w:spacing w:after="120"/>
        <w:jc w:val="both"/>
      </w:pPr>
      <w:r>
        <w:rPr>
          <w:rFonts w:ascii="Arial" w:cs="Arial" w:eastAsia="Arial" w:hAnsi="Arial"/>
          <w:sz w:val="24"/>
          <w:szCs w:val="24"/>
        </w:rPr>
        <w:t xml:space="preserve">- покупать какое-либо имущество у инсайдера или аффилированного лица участника банковской группы;</w:t>
      </w:r>
    </w:p>
    <w:p>
      <w:pPr>
        <w:spacing w:after="120"/>
        <w:jc w:val="both"/>
      </w:pPr>
      <w:r>
        <w:rPr>
          <w:rFonts w:ascii="Arial" w:cs="Arial" w:eastAsia="Arial" w:hAnsi="Arial"/>
          <w:sz w:val="24"/>
          <w:szCs w:val="24"/>
        </w:rPr>
        <w:t xml:space="preserve">- приобретать ценные бумаги, эмитированные аффилированным лицом участника банковской группы;</w:t>
      </w:r>
    </w:p>
    <w:p>
      <w:pPr>
        <w:spacing w:after="120"/>
        <w:jc w:val="both"/>
      </w:pPr>
      <w:r>
        <w:rPr>
          <w:rFonts w:ascii="Arial" w:cs="Arial" w:eastAsia="Arial" w:hAnsi="Arial"/>
          <w:sz w:val="24"/>
          <w:szCs w:val="24"/>
        </w:rPr>
        <w:t xml:space="preserve">- осуществления операций/сделок, которые могут привести к ухудшению финансового состояния банка.</w:t>
      </w:r>
    </w:p>
    <w:p>
      <w:pPr>
        <w:spacing w:after="120"/>
        <w:jc w:val="both"/>
      </w:pPr>
      <w:r>
        <w:rPr>
          <w:rFonts w:ascii="Arial" w:cs="Arial" w:eastAsia="Arial" w:hAnsi="Arial"/>
          <w:sz w:val="24"/>
          <w:szCs w:val="24"/>
        </w:rPr>
        <w:t xml:space="preserve">Инсайдер и/или аффилированное лицо одного из участников банковской группы, признается инсайдером и/или аффилированным лицом каждого участника банковской группы.</w:t>
      </w:r>
    </w:p>
    <w:p>
      <w:pPr>
        <w:spacing w:after="120"/>
        <w:jc w:val="both"/>
      </w:pPr>
      <w:r>
        <w:rPr>
          <w:rFonts w:ascii="Arial" w:cs="Arial" w:eastAsia="Arial" w:hAnsi="Arial"/>
          <w:sz w:val="24"/>
          <w:szCs w:val="24"/>
        </w:rPr>
        <w:t xml:space="preserve">57. Банковская холдинговая компания или банк, находящийся во главе банковской группы несет ответственность за обеспечение выполнения требований и экономических нормативов участниками банковской группы.</w:t>
      </w:r>
    </w:p>
    <w:p>
      <w:pPr>
        <w:spacing w:after="120"/>
        <w:jc w:val="both"/>
      </w:pPr>
      <w:r>
        <w:rPr>
          <w:rFonts w:ascii="Arial" w:cs="Arial" w:eastAsia="Arial" w:hAnsi="Arial"/>
          <w:sz w:val="24"/>
          <w:szCs w:val="24"/>
        </w:rPr>
        <w:t xml:space="preserve">Глава 8.
 Отчетность и сведения, предоставляемые банковской группой 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Банковская группа должна раскрывать и представлять в Национальный банк информацию о своей деятельности в форме, порядке и сроки, установленные Национальным банком, включая любые существенные изменения в структуре группы, а также информацию о создании, приобретении небанковских дочерних компаний или зависимых компаний.</w:t>
      </w:r>
    </w:p>
    <w:p>
      <w:pPr>
        <w:spacing w:after="120"/>
        <w:jc w:val="both"/>
      </w:pPr>
      <w:r>
        <w:rPr>
          <w:rFonts w:ascii="Arial" w:cs="Arial" w:eastAsia="Arial" w:hAnsi="Arial"/>
          <w:sz w:val="24"/>
          <w:szCs w:val="24"/>
        </w:rPr>
        <w:t xml:space="preserve">59. Банк, находящийся во главе банковской группы или банковская холдинговая компания, в случае, если это компания - резидент Кыргызской Республики, представляет в Национальный банк периодическую регулятивную отчетность/периодическую регулятивную банковскую отчетность (далее - ПРО/ПРБО) как на индивидуальной, так и на консолидированной основе по формам, установленным Национальным банком. ПРО/ПРБО на индивидуальной основе предоставляется банковской холдинговой компанией в Национальный банк в сроки, установленные нормативными правовыми актами Национального банка, а на консолидированной основе - ежеквартально в течение 12 календарных дней со дня окончания отчетного периода.</w:t>
      </w:r>
    </w:p>
    <w:p>
      <w:pPr>
        <w:spacing w:after="120"/>
        <w:jc w:val="both"/>
      </w:pPr>
      <w:r>
        <w:rPr>
          <w:rFonts w:ascii="Arial" w:cs="Arial" w:eastAsia="Arial" w:hAnsi="Arial"/>
          <w:sz w:val="24"/>
          <w:szCs w:val="24"/>
        </w:rPr>
        <w:t xml:space="preserve">60. Банк, находящийся во главе банковской группы или банковская холдинговая компания, в том числе материнская компания-нерезидент Кыргызской Республики, направляет в Национальный банк информацию об изменениях, вносимых в учредительные документы, уставы,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и/или приобретении дочерних компаний дочерними компаниями банка в срок, не позднее 30 дней с момента принятия соответствующего решения.</w:t>
      </w:r>
    </w:p>
    <w:p>
      <w:pPr>
        <w:spacing w:after="120"/>
        <w:jc w:val="both"/>
      </w:pPr>
      <w:r>
        <w:rPr>
          <w:rFonts w:ascii="Arial" w:cs="Arial" w:eastAsia="Arial" w:hAnsi="Arial"/>
          <w:sz w:val="24"/>
          <w:szCs w:val="24"/>
        </w:rPr>
        <w:t xml:space="preserve">61. Банк, находящийся во главе банковской группы или банковская холдинговая компания, в том числе материнская компания-нерезидент Кыргызской Республики, представляет в Национальный банк годовой отчет вместе с годовой финансовой отчетностью, подтвержденной независимой аудиторской компанией, на индивидуальной и консолидированной основе в срок, не позднее 180 дней со дня завершения отчетного года, и содержащий оценку адекватности внутреннего контроля для банковской группы и банковской холдинговой компании. Данные отчеты также должны содержать информацию о деятельности банковской группы, включая информацию обо всех дочерних и зависимых компаниях банковской холдинговой компании, включая название, процент владения, вид или виды деятельности, в которые вовлечен каждый участник банковской группы.</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crt4adk6jb-60hrjtt8pr">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62. Годовой отчет должен быть подписан председателем наблюдательного органа, исполнительного органа и главным бухгалтером банковской холдинговой компании или банка, находящегося во главе банковской группы.</w:t>
      </w:r>
    </w:p>
    <w:p>
      <w:pPr>
        <w:spacing w:after="120"/>
        <w:jc w:val="both"/>
      </w:pPr>
      <w:r>
        <w:rPr>
          <w:rFonts w:ascii="Arial" w:cs="Arial" w:eastAsia="Arial" w:hAnsi="Arial"/>
          <w:sz w:val="24"/>
          <w:szCs w:val="24"/>
        </w:rPr>
        <w:t xml:space="preserve">Глава 9.
 Применимые меры к участникам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 случаях нарушения участниками банковской группы экономических нормативов и других требований нормативных правовых актов Национального банка, при неправомерных действиях или бездействии должностных лиц компаний-участников банковской группы, которые могут угрожать финансовой безопасности и стабильности банковской группы, а также интересам участников группы, их кредиторов и вкладчиков, Национальный банк вправе применить к участнику банковской группы, меры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64. В случае нарушения аффилированным лицом банка требований Национального банка и/или банковского законодательства или если его деятельность или финансовое положение, по мнению Национального банка, наносит или может нанести ущерб финансовой стабильности банка и интересам вкладчиков банка, Национальный банк может потребовать от аффилированного лица принятия мер по устранению выявленных нарушений и недостатков.</w:t>
      </w:r>
    </w:p>
    <w:p>
      <w:pPr>
        <w:spacing w:after="120"/>
        <w:jc w:val="both"/>
      </w:pPr>
      <w:r>
        <w:rPr>
          <w:rFonts w:ascii="Arial" w:cs="Arial" w:eastAsia="Arial" w:hAnsi="Arial"/>
          <w:sz w:val="24"/>
          <w:szCs w:val="24"/>
        </w:rPr>
        <w:t xml:space="preserve">Форма изложения требований Национального банка - предписание Национального банка или письменное соглашение между Национальным банком и аффилированным лицом банка.</w:t>
      </w:r>
    </w:p>
    <w:p>
      <w:pPr>
        <w:spacing w:after="120"/>
        <w:jc w:val="both"/>
      </w:pPr>
      <w:r>
        <w:rPr>
          <w:rFonts w:ascii="Arial" w:cs="Arial" w:eastAsia="Arial" w:hAnsi="Arial"/>
          <w:sz w:val="24"/>
          <w:szCs w:val="24"/>
        </w:rPr>
        <w:t xml:space="preserve">65. Национальный банк может потребовать от значительных участников банка принятия мер по отношению к контролируемым ими компаниям, чья деятельность или финансовое положение, по мнению Национального банка, наносит или может нанести ущерб финансовой стабильности банка и интересам вкладчиков банка.</w:t>
      </w:r>
    </w:p>
    <w:p>
      <w:pPr>
        <w:spacing w:after="120"/>
        <w:jc w:val="both"/>
      </w:pPr>
      <w:r>
        <w:rPr>
          <w:rFonts w:ascii="Arial" w:cs="Arial" w:eastAsia="Arial" w:hAnsi="Arial"/>
          <w:sz w:val="24"/>
          <w:szCs w:val="24"/>
        </w:rPr>
        <w:t xml:space="preserve">Форма изложения требований Национального банка - предписание Национального банка или письменное соглашение между Национальным банком и значительным участником.</w:t>
      </w:r>
    </w:p>
    <w:p>
      <w:pPr>
        <w:spacing w:after="120"/>
        <w:jc w:val="both"/>
      </w:pPr>
      <w:r>
        <w:rPr>
          <w:rFonts w:ascii="Arial" w:cs="Arial" w:eastAsia="Arial" w:hAnsi="Arial"/>
          <w:sz w:val="24"/>
          <w:szCs w:val="24"/>
        </w:rPr>
        <w:t xml:space="preserve">66. Если требования Национального банка, предпринятые в соответствии со статьями 64 и 65 настоящего Положения, не будут выполнены в сроки, установленные Национальным банком, Национальный банк вправе:</w:t>
      </w:r>
    </w:p>
    <w:p>
      <w:pPr>
        <w:spacing w:after="120"/>
        <w:jc w:val="both"/>
      </w:pPr>
      <w:r>
        <w:rPr>
          <w:rFonts w:ascii="Arial" w:cs="Arial" w:eastAsia="Arial" w:hAnsi="Arial"/>
          <w:sz w:val="24"/>
          <w:szCs w:val="24"/>
        </w:rPr>
        <w:t xml:space="preserve">1) в случае с дочерней компанией банка - потребовать от банка приостановления любых инвестиций в данную компанию;</w:t>
      </w:r>
    </w:p>
    <w:p>
      <w:pPr>
        <w:spacing w:after="120"/>
        <w:jc w:val="both"/>
      </w:pPr>
      <w:r>
        <w:rPr>
          <w:rFonts w:ascii="Arial" w:cs="Arial" w:eastAsia="Arial" w:hAnsi="Arial"/>
          <w:sz w:val="24"/>
          <w:szCs w:val="24"/>
        </w:rPr>
        <w:t xml:space="preserve">2)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 и передать акции в доверительное управление третьему юридическому лицу (доверительному управляющему), на период, необходимый для исполнения требований Национального банка, а также при необходимости - приостановить права голоса доверительного управляющего по акциям, переданным ему в доверительное управление;</w:t>
      </w:r>
    </w:p>
    <w:p>
      <w:pPr>
        <w:spacing w:after="120"/>
        <w:jc w:val="both"/>
      </w:pPr>
      <w:r>
        <w:rPr>
          <w:rFonts w:ascii="Arial" w:cs="Arial" w:eastAsia="Arial" w:hAnsi="Arial"/>
          <w:sz w:val="24"/>
          <w:szCs w:val="24"/>
        </w:rPr>
        <w:t xml:space="preserve">3) в случае с аффилированными лицами банка - потребовать от аффилированных лиц и/или банка приостановить проведение операций, сделок между такими аффилированными лицами и банком;</w:t>
      </w:r>
    </w:p>
    <w:p>
      <w:pPr>
        <w:spacing w:after="120"/>
        <w:jc w:val="both"/>
      </w:pPr>
      <w:r>
        <w:rPr>
          <w:rFonts w:ascii="Arial" w:cs="Arial" w:eastAsia="Arial" w:hAnsi="Arial"/>
          <w:sz w:val="24"/>
          <w:szCs w:val="24"/>
        </w:rPr>
        <w:t xml:space="preserve">4) в случае с компаниями, которые контролируются значительными участниками банка, потребовать от значительного участника:</w:t>
      </w:r>
    </w:p>
    <w:p>
      <w:pPr>
        <w:spacing w:after="120"/>
        <w:jc w:val="both"/>
      </w:pPr>
      <w:r>
        <w:rPr>
          <w:rFonts w:ascii="Arial" w:cs="Arial" w:eastAsia="Arial" w:hAnsi="Arial"/>
          <w:sz w:val="24"/>
          <w:szCs w:val="24"/>
        </w:rPr>
        <w:t xml:space="preserve">а) приостановить участие в деятельности банка, в том числе приостановить осуществление, прямо или косвенно, права голоса по акциям и передать акции в доверительное управление третьему юридическому лицу (доверительному управляющему) на период, необходимый для исполнения требований Национального банка;</w:t>
      </w:r>
    </w:p>
    <w:p>
      <w:pPr>
        <w:spacing w:after="120"/>
        <w:jc w:val="both"/>
      </w:pPr>
      <w:r>
        <w:rPr>
          <w:rFonts w:ascii="Arial" w:cs="Arial" w:eastAsia="Arial" w:hAnsi="Arial"/>
          <w:sz w:val="24"/>
          <w:szCs w:val="24"/>
        </w:rPr>
        <w:t xml:space="preserve">б) и/или приостановить осуществление прямых и косвенных операций, сделок между банком и значительным участником и/или между банком и компанией, в которой осуществляется значительное участие.</w:t>
      </w:r>
    </w:p>
    <w:p>
      <w:pPr>
        <w:spacing w:after="120"/>
        <w:jc w:val="both"/>
      </w:pPr>
      <w:r>
        <w:rPr>
          <w:rFonts w:ascii="Arial" w:cs="Arial" w:eastAsia="Arial" w:hAnsi="Arial"/>
          <w:sz w:val="24"/>
          <w:szCs w:val="24"/>
        </w:rPr>
        <w:t xml:space="preserve">Форма изложения требований Национального банка - предписание Национального банка или письменное соглашение между Национальным банком с лицом (лицами), указанным в пунктах 1), 2), 3), 4) статьи 66.</w:t>
      </w:r>
    </w:p>
    <w:p>
      <w:pPr>
        <w:spacing w:after="120"/>
        <w:jc w:val="both"/>
      </w:pPr>
      <w:r>
        <w:rPr>
          <w:rFonts w:ascii="Arial" w:cs="Arial" w:eastAsia="Arial" w:hAnsi="Arial"/>
          <w:sz w:val="24"/>
          <w:szCs w:val="24"/>
        </w:rPr>
        <w:t xml:space="preserve">Передача акций банка, в случаях указанных в пунктах 2) и 4) статьи 66, в доверительное управление доверительному управляющему производится на основании письменного соглашения между ними, после согласования (одобрения) с Национальным банком доверительного управляющего. В договоре должно быть предусмотрено (обязательные условия):</w:t>
      </w:r>
    </w:p>
    <w:p>
      <w:pPr>
        <w:spacing w:after="120"/>
        <w:jc w:val="both"/>
      </w:pPr>
      <w:r>
        <w:rPr>
          <w:rFonts w:ascii="Arial" w:cs="Arial" w:eastAsia="Arial" w:hAnsi="Arial"/>
          <w:sz w:val="24"/>
          <w:szCs w:val="24"/>
        </w:rPr>
        <w:t xml:space="preserve">- право доверительного управляющего на участие в управлении банком;</w:t>
      </w:r>
    </w:p>
    <w:p>
      <w:pPr>
        <w:spacing w:after="120"/>
        <w:jc w:val="both"/>
      </w:pPr>
      <w:r>
        <w:rPr>
          <w:rFonts w:ascii="Arial" w:cs="Arial" w:eastAsia="Arial" w:hAnsi="Arial"/>
          <w:sz w:val="24"/>
          <w:szCs w:val="24"/>
        </w:rPr>
        <w:t xml:space="preserve">- право доверительного управляющего на отчуждение акций на рынке ценных бумаг в случаях, установленных в пункте 4) статьи 66.</w:t>
      </w:r>
    </w:p>
    <w:p>
      <w:pPr>
        <w:spacing w:after="120"/>
        <w:jc w:val="both"/>
      </w:pPr>
      <w:r>
        <w:rPr>
          <w:rFonts w:ascii="Arial" w:cs="Arial" w:eastAsia="Arial" w:hAnsi="Arial"/>
          <w:sz w:val="24"/>
          <w:szCs w:val="24"/>
        </w:rPr>
        <w:t xml:space="preserve">В случае неисполнения лицами, указанными в пунктах 1), 2), 3), 4) статьи 66, требований Национального банка, Национальный банк вправе обратиться в суд для понуждения указанных лиц к заключению соглашения с доверительным управляющим о передаче акций банка в доверительное управление.</w:t>
      </w:r>
    </w:p>
    <w:p>
      <w:pPr>
        <w:spacing w:after="120"/>
        <w:jc w:val="both"/>
      </w:pPr>
      <w:r>
        <w:rPr>
          <w:rFonts w:ascii="Arial" w:cs="Arial" w:eastAsia="Arial" w:hAnsi="Arial"/>
          <w:sz w:val="24"/>
          <w:szCs w:val="24"/>
        </w:rPr>
        <w:t xml:space="preserve">67. Если требования Национального банка, предпринятые в соответствии со статьями 64 и 65 настоящего Положения, не будут выполнены в сроки, установленные Национальным банком, Национальный банк вправе:</w:t>
      </w:r>
    </w:p>
    <w:p>
      <w:pPr>
        <w:spacing w:after="120"/>
        <w:jc w:val="both"/>
      </w:pPr>
      <w:r>
        <w:rPr>
          <w:rFonts w:ascii="Arial" w:cs="Arial" w:eastAsia="Arial" w:hAnsi="Arial"/>
          <w:sz w:val="24"/>
          <w:szCs w:val="24"/>
        </w:rPr>
        <w:t xml:space="preserve">1)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pPr>
        <w:spacing w:after="120"/>
        <w:jc w:val="both"/>
      </w:pPr>
      <w:r>
        <w:rPr>
          <w:rFonts w:ascii="Arial" w:cs="Arial" w:eastAsia="Arial" w:hAnsi="Arial"/>
          <w:sz w:val="24"/>
          <w:szCs w:val="24"/>
        </w:rPr>
        <w:t xml:space="preserve">2) в случае с банковской холдинговой компанией - аннулировать разрешение на приобретение контроля над банком и требовать прекращения контроля и значительного участия в банке;</w:t>
      </w:r>
    </w:p>
    <w:p>
      <w:pPr>
        <w:spacing w:after="120"/>
        <w:jc w:val="both"/>
      </w:pPr>
      <w:r>
        <w:rPr>
          <w:rFonts w:ascii="Arial" w:cs="Arial" w:eastAsia="Arial" w:hAnsi="Arial"/>
          <w:sz w:val="24"/>
          <w:szCs w:val="24"/>
        </w:rPr>
        <w:t xml:space="preserve">3)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pPr>
        <w:spacing w:after="120"/>
        <w:jc w:val="both"/>
      </w:pPr>
      <w:r>
        <w:rPr>
          <w:rFonts w:ascii="Arial" w:cs="Arial" w:eastAsia="Arial" w:hAnsi="Arial"/>
          <w:sz w:val="24"/>
          <w:szCs w:val="24"/>
        </w:rPr>
        <w:t xml:space="preserve">4) в случае с компаниями, которые являются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pPr>
        <w:spacing w:after="120"/>
        <w:jc w:val="both"/>
      </w:pPr>
      <w:r>
        <w:rPr>
          <w:rFonts w:ascii="Arial" w:cs="Arial" w:eastAsia="Arial" w:hAnsi="Arial"/>
          <w:sz w:val="24"/>
          <w:szCs w:val="24"/>
        </w:rPr>
        <w:t xml:space="preserve">Форма изложения требований Национального банка - предписание Национального банка или письменное соглашение между Национальным банком с лицом (лицами), указанным в пунктах 1, 2, 3, 4 статьи 67.</w:t>
      </w:r>
    </w:p>
    <w:p>
      <w:pPr>
        <w:spacing w:after="120"/>
        <w:jc w:val="both"/>
      </w:pPr>
      <w:r>
        <w:rPr>
          <w:rFonts w:ascii="Arial" w:cs="Arial" w:eastAsia="Arial" w:hAnsi="Arial"/>
          <w:sz w:val="24"/>
          <w:szCs w:val="24"/>
        </w:rPr>
        <w:t xml:space="preserve">Отчуждение акций банка в случаях, предусмотренных в настоящем пункте, должно производиться в сроки, предписанные Национальным банком.</w:t>
      </w:r>
    </w:p>
    <w:p>
      <w:pPr>
        <w:spacing w:after="120"/>
        <w:jc w:val="both"/>
      </w:pPr>
      <w:r>
        <w:rPr>
          <w:rFonts w:ascii="Arial" w:cs="Arial" w:eastAsia="Arial" w:hAnsi="Arial"/>
          <w:sz w:val="24"/>
          <w:szCs w:val="24"/>
        </w:rPr>
        <w:t xml:space="preserve">В случае неисполнения вышеуказанными лицами требований Национального банка в сроки, установленные Национальным банком, Национальный банк вправе потребовать исполнения своих требований в судебном порядке.</w:t>
      </w:r>
    </w:p>
    <w:p>
      <w:pPr>
        <w:spacing w:after="120"/>
        <w:jc w:val="both"/>
      </w:pPr>
      <w:r>
        <w:rPr>
          <w:rFonts w:ascii="Arial" w:cs="Arial" w:eastAsia="Arial" w:hAnsi="Arial"/>
          <w:sz w:val="24"/>
          <w:szCs w:val="24"/>
        </w:rPr>
        <w:t xml:space="preserve">68. Соглашение между Национальным банком и лицом (лицами), указанным в статьях 64, 65, 66, и 67 настоящего Положения, - это письменное соглашение о принятии данным лицом (лицами) мер по устранению выявленных нарушений или недостатков в установленный Национальным банком срок.</w:t>
      </w:r>
    </w:p>
    <w:p>
      <w:pPr>
        <w:spacing w:after="120"/>
        <w:jc w:val="both"/>
      </w:pPr>
      <w:r>
        <w:rPr>
          <w:rFonts w:ascii="Arial" w:cs="Arial" w:eastAsia="Arial" w:hAnsi="Arial"/>
          <w:sz w:val="24"/>
          <w:szCs w:val="24"/>
        </w:rPr>
        <w:t xml:space="preserve">Предписание Национального банка является указанием о принятии обязательных к исполнению мер, направленных на устранение выявленных нарушений или недостатков в установленный Национальным банком срок. Обжалование предписания Национального банка не приостанавливает его исполнения.</w:t>
      </w:r>
    </w:p>
    <w:p>
      <w:pPr>
        <w:spacing w:after="120"/>
        <w:jc w:val="both"/>
      </w:pPr>
      <w:r>
        <w:rPr>
          <w:rFonts w:ascii="Arial" w:cs="Arial" w:eastAsia="Arial" w:hAnsi="Arial"/>
          <w:sz w:val="24"/>
          <w:szCs w:val="24"/>
        </w:rPr>
        <w:t xml:space="preserve">69. Национальный банк вправе применить предупредительные меры и санкции к должностному лицу и/или значительному участнику банка, банковской холдинговой компании в случаях:</w:t>
      </w:r>
    </w:p>
    <w:p>
      <w:pPr>
        <w:spacing w:after="120"/>
        <w:jc w:val="both"/>
      </w:pPr>
      <w:r>
        <w:rPr>
          <w:rFonts w:ascii="Arial" w:cs="Arial" w:eastAsia="Arial" w:hAnsi="Arial"/>
          <w:sz w:val="24"/>
          <w:szCs w:val="24"/>
        </w:rPr>
        <w:t xml:space="preserve">- нарушения указанным лицом требований законодательства Кыргызской Республики, включая нормативных правовых актов Национального банка;</w:t>
      </w:r>
    </w:p>
    <w:p>
      <w:pPr>
        <w:spacing w:after="120"/>
        <w:jc w:val="both"/>
      </w:pPr>
      <w:r>
        <w:rPr>
          <w:rFonts w:ascii="Arial" w:cs="Arial" w:eastAsia="Arial" w:hAnsi="Arial"/>
          <w:sz w:val="24"/>
          <w:szCs w:val="24"/>
        </w:rPr>
        <w:t xml:space="preserve">- создания указанным лицом ситуации, ставящей под угрозу финансовую стабильность банка и интересы его вкладчиков;</w:t>
      </w:r>
    </w:p>
    <w:p>
      <w:pPr>
        <w:spacing w:after="120"/>
        <w:jc w:val="both"/>
      </w:pPr>
      <w:r>
        <w:rPr>
          <w:rFonts w:ascii="Arial" w:cs="Arial" w:eastAsia="Arial" w:hAnsi="Arial"/>
          <w:sz w:val="24"/>
          <w:szCs w:val="24"/>
        </w:rPr>
        <w:t xml:space="preserve">- злоупотребления указанным лицом своим должностным положением;</w:t>
      </w:r>
    </w:p>
    <w:p>
      <w:pPr>
        <w:spacing w:after="120"/>
        <w:jc w:val="both"/>
      </w:pPr>
      <w:r>
        <w:rPr>
          <w:rFonts w:ascii="Arial" w:cs="Arial" w:eastAsia="Arial" w:hAnsi="Arial"/>
          <w:sz w:val="24"/>
          <w:szCs w:val="24"/>
        </w:rPr>
        <w:t xml:space="preserve">- совершения указанным лицом противозаконных действий;</w:t>
      </w:r>
    </w:p>
    <w:p>
      <w:pPr>
        <w:spacing w:after="120"/>
        <w:jc w:val="both"/>
      </w:pPr>
      <w:r>
        <w:rPr>
          <w:rFonts w:ascii="Arial" w:cs="Arial" w:eastAsia="Arial" w:hAnsi="Arial"/>
          <w:sz w:val="24"/>
          <w:szCs w:val="24"/>
        </w:rPr>
        <w:t xml:space="preserve">- если указанное лицо не вызывает доверия, необходимого для занятия своей должности.</w:t>
      </w:r>
    </w:p>
    <w:p>
      <w:pPr>
        <w:spacing w:after="120"/>
        <w:jc w:val="both"/>
      </w:pPr>
      <w:r>
        <w:rPr>
          <w:rFonts w:ascii="Arial" w:cs="Arial" w:eastAsia="Arial" w:hAnsi="Arial"/>
          <w:sz w:val="24"/>
          <w:szCs w:val="24"/>
        </w:rPr>
        <w:t xml:space="preserve">Предупредительные меры и санкции к должностному лицу и/или значительному участнику банка, банковской холдинговой компании включают право Национального банка требовать приостановления права голоса по принадлежащим им акциям или налагать запрет на дальнейшее участие в деятельности банка или его аффилированных лиц в порядке, предусмотренном настоящим Положением.</w:t>
      </w:r>
    </w:p>
    <w:p>
      <w:pPr>
        <w:spacing w:after="120"/>
        <w:jc w:val="both"/>
      </w:pPr>
      <w:r>
        <w:rPr>
          <w:rFonts w:ascii="Arial" w:cs="Arial" w:eastAsia="Arial" w:hAnsi="Arial"/>
          <w:sz w:val="24"/>
          <w:szCs w:val="24"/>
        </w:rPr>
        <w:t xml:space="preserve">Никто не может оставаться в должности или участвовать в деятельности банка или его аффилированных лиц, если подобный запрет установлен в отношении данного лица Национальным банком в соответствии с законодательством.</w:t>
      </w:r>
    </w:p>
    <w:p>
      <w:pPr>
        <w:spacing w:after="120"/>
        <w:jc w:val="both"/>
      </w:pPr>
      <w:r>
        <w:rPr>
          <w:rFonts w:ascii="Arial" w:cs="Arial" w:eastAsia="Arial" w:hAnsi="Arial"/>
          <w:sz w:val="24"/>
          <w:szCs w:val="24"/>
        </w:rPr>
        <w:t xml:space="preserve">В случае возбуждения уголовного дела в отношении должностного лица банка или банковской холдинговой компании Национальный банк вправе издать предписание о временном отстранении данного лица от должности в порядке, установленном законодательством Кыргызской Республики, а в случае признания данного лица виновным в совершении уголовного преступления - отстранить от должности.</w:t>
      </w:r>
    </w:p>
    <w:p>
      <w:pPr>
        <w:spacing w:after="120"/>
        <w:jc w:val="both"/>
      </w:pPr>
      <w:r>
        <w:rPr>
          <w:rFonts w:ascii="Arial" w:cs="Arial" w:eastAsia="Arial" w:hAnsi="Arial"/>
          <w:sz w:val="24"/>
          <w:szCs w:val="24"/>
        </w:rPr>
        <w:t xml:space="preserve">70. До принятия мер, в соответствии с настоящим разделом, к участнику банковской группы (не являющемуся банком), значительному участнику банка, подлежащему надзору (контролю) со стороны другого уполномоченного государственного органа, Национальный банк официально извещает уполномоченный государственный орган об основаниях и сроках принятия предполагаемых мер. Уполномоченный государственный орган, в связи с извещением Национального банка, должен информировать Национальный банк, в соответствии с </w:t>
      </w:r>
      <w:hyperlink w:history="1" r:id="rIdc0kpudw2lpg6qz9aigul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о предпринятых им действиях (мерах, санкциях) или о причинах бездействия в отношении участника банковской группы.</w:t>
      </w:r>
    </w:p>
    <w:p>
      <w:pPr>
        <w:spacing w:after="120"/>
        <w:jc w:val="both"/>
      </w:pPr>
      <w:r>
        <w:rPr>
          <w:rFonts w:ascii="Arial" w:cs="Arial" w:eastAsia="Arial" w:hAnsi="Arial"/>
          <w:sz w:val="24"/>
          <w:szCs w:val="24"/>
        </w:rPr>
        <w:t xml:space="preserve">В случае бездействия или недостаточности действий уполномоченного государственного органа для исправления ситуации, грозящей интересам банка или его кредиторов, Национальный банк вправе применить любые меры, предусмотренные законодательством Кыргызской Республики.</w:t>
      </w:r>
    </w:p>
    <w:p>
      <w:pPr>
        <w:spacing w:after="120"/>
        <w:jc w:val="both"/>
      </w:pPr>
      <w:r>
        <w:rPr>
          <w:rFonts w:ascii="Arial" w:cs="Arial" w:eastAsia="Arial" w:hAnsi="Arial"/>
          <w:sz w:val="24"/>
          <w:szCs w:val="24"/>
        </w:rPr>
        <w:t xml:space="preserve">71. В случае отмены Национальным банком разрешения на осуществление значительного участия или осуществление контроля в банке в соответствии с настоящим Положением, то применяются положения пункта 7 статьи 44 </w:t>
      </w:r>
      <w:hyperlink w:history="1" r:id="rId_tj1xlrkah04dniaqsb6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72. Национальный банк имеет право незамедлительно применить меры, указанные в настоящем Положении, если, по его мнению, существует чрезвычайная ситуация, которая делает необходимым принятие таких мер для защиты банка или его вкладчиков.</w:t>
      </w:r>
    </w:p>
    <w:p>
      <w:pPr>
        <w:spacing w:after="120"/>
        <w:jc w:val="both"/>
      </w:pPr>
      <w:r>
        <w:rPr>
          <w:rFonts w:ascii="Arial" w:cs="Arial" w:eastAsia="Arial" w:hAnsi="Arial"/>
          <w:sz w:val="24"/>
          <w:szCs w:val="24"/>
        </w:rPr>
        <w:t xml:space="preserve">К банкам и иным участникам банковской группы могут быть применены меры и санкции, предусмотренные другими положениями законодательства Кыргызской Республики.</w:t>
      </w:r>
    </w:p>
    <w:p>
      <w:pPr>
        <w:spacing w:after="120"/>
        <w:jc w:val="both"/>
      </w:pPr>
      <w:r>
        <w:rPr>
          <w:rFonts w:ascii="Arial" w:cs="Arial" w:eastAsia="Arial" w:hAnsi="Arial"/>
          <w:sz w:val="24"/>
          <w:szCs w:val="24"/>
        </w:rPr>
        <w:t xml:space="preserve">Глава 10.
 Взаимодействие между надзорными органами 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Если компания, являющаяся частью банковской группы, подлежит надзору или регулированию со стороны другого уполномоченного государственного органа, Национальный банк и другой уполномоченный государственный орган должны осуществлять сотрудничество в целях всестороннего регулирования и надзора за банковской группой.</w:t>
      </w:r>
    </w:p>
    <w:p>
      <w:pPr>
        <w:spacing w:after="120"/>
        <w:jc w:val="both"/>
      </w:pPr>
      <w:r>
        <w:rPr>
          <w:rFonts w:ascii="Arial" w:cs="Arial" w:eastAsia="Arial" w:hAnsi="Arial"/>
          <w:sz w:val="24"/>
          <w:szCs w:val="24"/>
        </w:rPr>
        <w:t xml:space="preserve">74. Уполномоченный государственный орган предоставляет Национальному банку информацию, находящуюся в его распоряжении и касающуюся банковской группы или любого участника банковской группы:</w:t>
      </w:r>
    </w:p>
    <w:p>
      <w:pPr>
        <w:spacing w:after="120"/>
        <w:jc w:val="both"/>
      </w:pPr>
      <w:r>
        <w:rPr>
          <w:rFonts w:ascii="Arial" w:cs="Arial" w:eastAsia="Arial" w:hAnsi="Arial"/>
          <w:sz w:val="24"/>
          <w:szCs w:val="24"/>
        </w:rPr>
        <w:t xml:space="preserve">- позволяющую определить структуру банковской группы, контролирующих лиц, должностных лиц;</w:t>
      </w:r>
    </w:p>
    <w:p>
      <w:pPr>
        <w:spacing w:after="120"/>
        <w:jc w:val="both"/>
      </w:pPr>
      <w:r>
        <w:rPr>
          <w:rFonts w:ascii="Arial" w:cs="Arial" w:eastAsia="Arial" w:hAnsi="Arial"/>
          <w:sz w:val="24"/>
          <w:szCs w:val="24"/>
        </w:rPr>
        <w:t xml:space="preserve">- об изменениях в структуре владения, управления или в организационной структуре любого участника банковской группы, которые требуют одобрения или уведомления этого уполномоченного государственного органа;</w:t>
      </w:r>
    </w:p>
    <w:p>
      <w:pPr>
        <w:spacing w:after="120"/>
        <w:jc w:val="both"/>
      </w:pPr>
      <w:r>
        <w:rPr>
          <w:rFonts w:ascii="Arial" w:cs="Arial" w:eastAsia="Arial" w:hAnsi="Arial"/>
          <w:sz w:val="24"/>
          <w:szCs w:val="24"/>
        </w:rPr>
        <w:t xml:space="preserve">- о деятельности и политике банковской группы или участника банковской группы;</w:t>
      </w:r>
    </w:p>
    <w:p>
      <w:pPr>
        <w:spacing w:after="120"/>
        <w:jc w:val="both"/>
      </w:pPr>
      <w:r>
        <w:rPr>
          <w:rFonts w:ascii="Arial" w:cs="Arial" w:eastAsia="Arial" w:hAnsi="Arial"/>
          <w:sz w:val="24"/>
          <w:szCs w:val="24"/>
        </w:rPr>
        <w:t xml:space="preserve">- о финансовом состоянии банковской группы и его участников (особое внимание должно быть уделено адекватности капитала, операциям с лицами, имеющими общий интерес, внутригрупповым рискам и прибыли);</w:t>
      </w:r>
    </w:p>
    <w:p>
      <w:pPr>
        <w:spacing w:after="120"/>
        <w:jc w:val="both"/>
      </w:pPr>
      <w:r>
        <w:rPr>
          <w:rFonts w:ascii="Arial" w:cs="Arial" w:eastAsia="Arial" w:hAnsi="Arial"/>
          <w:sz w:val="24"/>
          <w:szCs w:val="24"/>
        </w:rPr>
        <w:t xml:space="preserve">- об организации системы внутреннего контроля банковской группы или участника банковской группы, управлении рисками;</w:t>
      </w:r>
    </w:p>
    <w:p>
      <w:pPr>
        <w:spacing w:after="120"/>
        <w:jc w:val="both"/>
      </w:pPr>
      <w:r>
        <w:rPr>
          <w:rFonts w:ascii="Arial" w:cs="Arial" w:eastAsia="Arial" w:hAnsi="Arial"/>
          <w:sz w:val="24"/>
          <w:szCs w:val="24"/>
        </w:rPr>
        <w:t xml:space="preserve">- о процедуре сбора информации от органов управления участников банковской группы и проверке такой информации;</w:t>
      </w:r>
    </w:p>
    <w:p>
      <w:pPr>
        <w:spacing w:after="120"/>
        <w:jc w:val="both"/>
      </w:pPr>
      <w:r>
        <w:rPr>
          <w:rFonts w:ascii="Arial" w:cs="Arial" w:eastAsia="Arial" w:hAnsi="Arial"/>
          <w:sz w:val="24"/>
          <w:szCs w:val="24"/>
        </w:rPr>
        <w:t xml:space="preserve">- об операциях, сделках, иных событиях внутри банковской группы или участника банковской группы, которые могут серьезно повлиять на деятельность банка-участника банковской группы;</w:t>
      </w:r>
    </w:p>
    <w:p>
      <w:pPr>
        <w:spacing w:after="120"/>
        <w:jc w:val="both"/>
      </w:pPr>
      <w:r>
        <w:rPr>
          <w:rFonts w:ascii="Arial" w:cs="Arial" w:eastAsia="Arial" w:hAnsi="Arial"/>
          <w:sz w:val="24"/>
          <w:szCs w:val="24"/>
        </w:rPr>
        <w:t xml:space="preserve">- о мерах и санкциях, предпринятых со стороны уполномоченного государственного органа в отношении участников банковской группы;</w:t>
      </w:r>
    </w:p>
    <w:p>
      <w:pPr>
        <w:spacing w:after="120"/>
        <w:jc w:val="both"/>
      </w:pPr>
      <w:r>
        <w:rPr>
          <w:rFonts w:ascii="Arial" w:cs="Arial" w:eastAsia="Arial" w:hAnsi="Arial"/>
          <w:sz w:val="24"/>
          <w:szCs w:val="24"/>
        </w:rPr>
        <w:t xml:space="preserve">- другую информацию, необходимую для осуществления эффективного банковского надзора.</w:t>
      </w:r>
    </w:p>
    <w:p>
      <w:pPr>
        <w:spacing w:after="120"/>
        <w:jc w:val="both"/>
      </w:pPr>
      <w:r>
        <w:rPr>
          <w:rFonts w:ascii="Arial" w:cs="Arial" w:eastAsia="Arial" w:hAnsi="Arial"/>
          <w:sz w:val="24"/>
          <w:szCs w:val="24"/>
        </w:rPr>
        <w:t xml:space="preserve">75. Национальный банк вправе запросить отчеты и другие материалы данного уполномоченного государственного органа в целях осуществления надзора на консолидированной основе. Национальный банк также вправе проводить инспектирование участников банковской группы, если другой уполномоченный государственный орган не обладает информацией, необходимой Национальному банку, или если информация, предоставленная другим уполномоченным государственным органом, по мнению Национального банка, недостаточна. Указанные компании и их должностные лица обязаны оказывать содействие и не препятствовать в осуществлении Национальным банком своих полномочий в такой же степени, как это требуется от банка и их должностных лиц.</w:t>
      </w:r>
    </w:p>
    <w:p>
      <w:pPr>
        <w:spacing w:after="120"/>
        <w:jc w:val="both"/>
      </w:pPr>
      <w:r>
        <w:rPr>
          <w:rFonts w:ascii="Arial" w:cs="Arial" w:eastAsia="Arial" w:hAnsi="Arial"/>
          <w:sz w:val="24"/>
          <w:szCs w:val="24"/>
        </w:rPr>
        <w:t xml:space="preserve">76. В целях всестороннего регулирования и надзора за банковской группой на консолидированной основе между надзорными органами страны происхождения и принимающей страны могут заключаться меморандумы о сотрудничестве.</w:t>
      </w:r>
    </w:p>
    <w:p>
      <w:pPr>
        <w:spacing w:after="120"/>
        <w:jc w:val="both"/>
      </w:pPr>
      <w:r>
        <w:rPr>
          <w:rFonts w:ascii="Arial" w:cs="Arial" w:eastAsia="Arial" w:hAnsi="Arial"/>
          <w:sz w:val="24"/>
          <w:szCs w:val="24"/>
        </w:rPr>
        <w:t xml:space="preserve">(1) Принципы осуществления надзора над зарубежными представительствами банков.</w:t>
      </w:r>
    </w:p>
    <w:p>
      <w:pPr>
        <w:spacing w:after="120"/>
        <w:jc w:val="both"/>
      </w:pPr>
      <w:r>
        <w:rPr>
          <w:rFonts w:ascii="Arial" w:cs="Arial" w:eastAsia="Arial" w:hAnsi="Arial"/>
          <w:sz w:val="24"/>
          <w:szCs w:val="24"/>
        </w:rPr>
        <w:t xml:space="preserve">(2) Исполнительный орган - орган (правление, дирекция), осуществляющий руководство текущей деятельностью компании.</w:t>
      </w:r>
    </w:p>
    <w:p>
      <w:pPr>
        <w:spacing w:after="120"/>
        <w:jc w:val="both"/>
      </w:pPr>
      <w:r>
        <w:rPr>
          <w:rFonts w:ascii="Arial" w:cs="Arial" w:eastAsia="Arial" w:hAnsi="Arial"/>
          <w:sz w:val="24"/>
          <w:szCs w:val="24"/>
        </w:rPr>
        <w:t xml:space="preserve">(3) Наблюдательный орган - орган (Совет директоров, наблюдательный совет) управления компанией, осуществляющий общее руководство компанией в период между общими собраниями учредителей (акционеров).</w:t>
      </w:r>
    </w:p>
    <w:p>
      <w:pPr>
        <w:spacing w:after="120"/>
        <w:jc w:val="both"/>
      </w:pPr>
      <w:r>
        <w:rPr>
          <w:rFonts w:ascii="Arial" w:cs="Arial" w:eastAsia="Arial" w:hAnsi="Arial"/>
          <w:sz w:val="24"/>
          <w:szCs w:val="24"/>
        </w:rPr>
        <w:t xml:space="preserve">(4) В целях настоящего положения должностные лица компании это: председатель и члены наблюдательного органа, председатель исполнительного органа, члены исполнительного органа, главные сотрудники компании по финансам, по кредитам. Под "должностными лицами компании" также понимаются лица, которые определяют политику компании или имеют полномочия участвовать или реально участвуют в основных операциях компании, независимо от того, работают ли эти лица на безвозмездной основе или получают вознаграждение. Данное определение распространяется также на должностных лиц материнской компании.</w:t>
      </w:r>
    </w:p>
    <w:p>
      <w:pPr>
        <w:spacing w:after="120"/>
        <w:jc w:val="both"/>
      </w:pPr>
      <w:r>
        <w:rPr>
          <w:rFonts w:ascii="Arial" w:cs="Arial" w:eastAsia="Arial" w:hAnsi="Arial"/>
          <w:sz w:val="24"/>
          <w:szCs w:val="24"/>
        </w:rPr>
        <w:t xml:space="preserve">(5) Под негативным/существенным влиянием понимаются факты или обстоятельства, которые могут привести к нарушению банком, лицензируемым Национальным банком, законодательства Кыргызской Республики.</w:t>
      </w:r>
    </w:p>
    <w:p>
      <w:pPr>
        <w:spacing w:after="120"/>
        <w:jc w:val="both"/>
      </w:pPr>
      <w:r>
        <w:rPr>
          <w:rFonts w:ascii="Arial" w:cs="Arial" w:eastAsia="Arial" w:hAnsi="Arial"/>
          <w:sz w:val="24"/>
          <w:szCs w:val="24"/>
        </w:rPr>
        <w:t xml:space="preserve">(6) Утверждено </w:t>
      </w:r>
      <w:hyperlink w:history="1" r:id="rIdejsxmffpouv7hcornur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w:t>
      </w:r>
      <w:hyperlink w:history="1" r:id="rIdv9lor3rcrakovvgtufec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адекватности капитала коммерческих банков Кыргызской Республики" № 18/2 от 21.07.2004 г., регистрационный номер МЮ КР 94-04 от 23.08.2004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nqjep2fr3egb37xyv1qg">
      <w:r>
        <w:rPr>
          <w:rFonts w:ascii="Arial" w:cs="Arial" w:eastAsia="Arial" w:hAnsi="Arial"/>
          <w:color w:val="132D3F"/>
          <w:sz w:val="16"/>
          <w:szCs w:val="16"/>
          <w:u w:val="single"/>
        </w:rPr>
        <w:t xml:space="preserve">dalil.kg/document/302327</w:t>
      </w:r>
    </w:hyperlink>
  </w:p>
  <w:p>
    <w:pPr>
      <w:spacing w:after="0" w:before="40"/>
      <w:jc w:val="center"/>
    </w:pPr>
    <w:hyperlink w:history="1" r:id="rIdfnofv9olddyxga7xdjk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7qpc0el1nzdgl8swwy5r" Type="http://schemas.openxmlformats.org/officeDocument/2006/relationships/hyperlink" Target="https://dalil.kg/document/302326" TargetMode="External"/><Relationship Id="rIdd-mrbzry0rqznj1s0rmlm" Type="http://schemas.openxmlformats.org/officeDocument/2006/relationships/hyperlink" Target="https://dalil.kg/document/302553" TargetMode="External"/><Relationship Id="rId5gklp5xhfyshkitrlyc9k" Type="http://schemas.openxmlformats.org/officeDocument/2006/relationships/hyperlink" Target="https://dalil.kg/document/302970" TargetMode="External"/><Relationship Id="rIdb3ylxjjnwide8sh03jxwt" Type="http://schemas.openxmlformats.org/officeDocument/2006/relationships/hyperlink" Target="https://dalil.kg/document/559" TargetMode="External"/><Relationship Id="rId0uw4jpdk9cmi0px9yfbbz" Type="http://schemas.openxmlformats.org/officeDocument/2006/relationships/hyperlink" Target="https://dalil.kg/document/560" TargetMode="External"/><Relationship Id="rIdeg6zsddnk9806elfg5bv5" Type="http://schemas.openxmlformats.org/officeDocument/2006/relationships/hyperlink" Target="https://dalil.kg/document/559" TargetMode="External"/><Relationship Id="rIdzeskgovcf8_iwx3cybyx1" Type="http://schemas.openxmlformats.org/officeDocument/2006/relationships/hyperlink" Target="https://dalil.kg/document/302553" TargetMode="External"/><Relationship Id="rIdi5ouuqhhl70bfgkj2x4se" Type="http://schemas.openxmlformats.org/officeDocument/2006/relationships/hyperlink" Target="https://dalil.kg/document/302553" TargetMode="External"/><Relationship Id="rIdjrz97q9p7drrzacozogp-" Type="http://schemas.openxmlformats.org/officeDocument/2006/relationships/hyperlink" Target="https://dalil.kg/document/560" TargetMode="External"/><Relationship Id="rIdsothycnsh3q_ypnusqzq2" Type="http://schemas.openxmlformats.org/officeDocument/2006/relationships/hyperlink" Target="https://dalil.kg/document/300400" TargetMode="External"/><Relationship Id="rIdytbcmac3elcn5wkmw0lw1" Type="http://schemas.openxmlformats.org/officeDocument/2006/relationships/hyperlink" Target="https://dalil.kg/document/300399" TargetMode="External"/><Relationship Id="rIdiqmhy_o8dlwtlg9kxsqsm" Type="http://schemas.openxmlformats.org/officeDocument/2006/relationships/hyperlink" Target="https://dalil.kg/document/300400" TargetMode="External"/><Relationship Id="rId8ddlxntq5kmd1jkhd5zll" Type="http://schemas.openxmlformats.org/officeDocument/2006/relationships/hyperlink" Target="https://dalil.kg/document/1081" TargetMode="External"/><Relationship Id="rIdoxf8baonooouslib8soru" Type="http://schemas.openxmlformats.org/officeDocument/2006/relationships/hyperlink" Target="https://dalil.kg/document/255" TargetMode="External"/><Relationship Id="rIduxeyeilkopffrrj2017kj" Type="http://schemas.openxmlformats.org/officeDocument/2006/relationships/hyperlink" Target="https://dalil.kg/document/105" TargetMode="External"/><Relationship Id="rIdi_td8ozhouwfuhybk6oqc" Type="http://schemas.openxmlformats.org/officeDocument/2006/relationships/hyperlink" Target="https://dalil.kg/document/1091" TargetMode="External"/><Relationship Id="rIdiytgqdywfgvcrcn-b8kw8" Type="http://schemas.openxmlformats.org/officeDocument/2006/relationships/hyperlink" Target="https://dalil.kg/document/1032" TargetMode="External"/><Relationship Id="rIdcrt4adk6jb-60hrjtt8pr" Type="http://schemas.openxmlformats.org/officeDocument/2006/relationships/hyperlink" Target="https://dalil.kg/document/302970" TargetMode="External"/><Relationship Id="rIdc0kpudw2lpg6qz9aigulr" Type="http://schemas.openxmlformats.org/officeDocument/2006/relationships/hyperlink" Target="https://dalil.kg/document/560" TargetMode="External"/><Relationship Id="rId_tj1xlrkah04dniaqsb6x" Type="http://schemas.openxmlformats.org/officeDocument/2006/relationships/hyperlink" Target="https://dalil.kg/document/560" TargetMode="External"/><Relationship Id="rIdejsxmffpouv7hcornurui" Type="http://schemas.openxmlformats.org/officeDocument/2006/relationships/hyperlink" Target="https://dalil.kg/document/31369" TargetMode="External"/><Relationship Id="rIdv9lor3rcrakovvgtufecv" Type="http://schemas.openxmlformats.org/officeDocument/2006/relationships/hyperlink" Target="https://dalil.kg/document/3137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nqjep2fr3egb37xyv1qg" Type="http://schemas.openxmlformats.org/officeDocument/2006/relationships/hyperlink" Target="https://dalil.kg/document/302327" TargetMode="External"/><Relationship Id="rIdfnofv9olddyxga7xdjk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2026-09-25T20:26:20.031Z</dcterms:created>
  <dcterms:modified xsi:type="dcterms:W3CDTF">2026-09-25T20:26:20.031Z</dcterms:modified>
</cp:coreProperties>
</file>

<file path=docProps/custom.xml><?xml version="1.0" encoding="utf-8"?>
<Properties xmlns="http://schemas.openxmlformats.org/officeDocument/2006/custom-properties" xmlns:vt="http://schemas.openxmlformats.org/officeDocument/2006/docPropsVTypes"/>
</file>