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i-dy3yl-tcmk1okixar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4 июля 2012 года N 28/7</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aku2h84dcldvbhgo4qpgt">
        <w:r>
          <w:rPr>
            <w:rFonts w:ascii="Arial" w:cs="Arial" w:eastAsia="Arial" w:hAnsi="Arial"/>
            <w:i/>
            <w:iCs/>
            <w:color w:val="1D4ED8"/>
            <w:sz w:val="24"/>
            <w:szCs w:val="24"/>
            <w:u w:val="single"/>
          </w:rPr>
          <w:t xml:space="preserve">16 ноября 2012 года N 43/1</w:t>
        </w:r>
      </w:hyperlink>
      <w:r>
        <w:rPr>
          <w:rFonts w:ascii="Arial" w:cs="Arial" w:eastAsia="Arial" w:hAnsi="Arial"/>
          <w:i/>
          <w:iCs/>
          <w:sz w:val="24"/>
          <w:szCs w:val="24"/>
        </w:rPr>
        <w:t xml:space="preserve">,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hyperlink w:history="1" r:id="rIdnuiubpm7febtpyvvi2dfg">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 </w:t>
      </w:r>
      <w:hyperlink w:history="1" r:id="rId2tqzz4fsnthayqimxacp2">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19/11)</w:t>
      </w:r>
    </w:p>
    <w:p>
      <w:pPr>
        <w:spacing w:after="60"/>
        <w:ind w:firstLine="567"/>
        <w:jc w:val="both"/>
      </w:pPr>
      <w:r>
        <w:rPr>
          <w:rFonts w:ascii="Arial" w:cs="Arial" w:eastAsia="Arial" w:hAnsi="Arial"/>
          <w:sz w:val="24"/>
          <w:szCs w:val="24"/>
        </w:rPr>
        <w:t xml:space="preserve">2. Целью настоящего Порядка является выполнение минимальных требований коммерческими банками, Государственным банком развития Кыргызской Республики и другими финансово-кредитными организациями (далее - банки/ФКО) для укрепления кредитной дисциплины и реального обеспечения возврата выдаваемых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k0phbqaeqccnu5nmilfu">
        <w:r>
          <w:rPr>
            <w:rFonts w:ascii="Arial" w:cs="Arial" w:eastAsia="Arial" w:hAnsi="Arial"/>
            <w:i/>
            <w:iCs/>
            <w:color w:val="1D4ED8"/>
            <w:sz w:val="24"/>
            <w:szCs w:val="24"/>
            <w:u w:val="single"/>
          </w:rPr>
          <w:t xml:space="preserve">16 ноября 2012 года N 43/1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Осуществление кредитной деятельности обеспечивающей доходность банка/ФКО, требует выработки определенной политики банка в области залогового обеспечения, являющегося вторичным источником погашения кредитов. Залоговая политика должна быть частью общей кредитной политики банка/ФКО.</w:t>
      </w:r>
    </w:p>
    <w:p>
      <w:pPr>
        <w:spacing w:after="60"/>
        <w:ind w:firstLine="567"/>
        <w:jc w:val="both"/>
      </w:pPr>
      <w:r>
        <w:rPr>
          <w:rFonts w:ascii="Arial" w:cs="Arial" w:eastAsia="Arial" w:hAnsi="Arial"/>
          <w:sz w:val="24"/>
          <w:szCs w:val="24"/>
        </w:rPr>
        <w:t xml:space="preserve">4. Основные понятия, применяемые в настоящем документе, определены в </w:t>
      </w:r>
      <w:hyperlink w:history="1" r:id="rIdxfpo2l0rccoxnvlfqv6hi">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залоге", </w:t>
      </w:r>
      <w:hyperlink w:history="1" r:id="rIdwvqtp1ez59qahctilgif8">
        <w:r>
          <w:rPr>
            <w:rFonts w:ascii="Arial" w:cs="Arial" w:eastAsia="Arial" w:hAnsi="Arial"/>
            <w:color w:val="1D4ED8"/>
            <w:sz w:val="24"/>
            <w:szCs w:val="24"/>
            <w:u w:val="single"/>
          </w:rPr>
          <w:t xml:space="preserve">Стандарте</w:t>
        </w:r>
      </w:hyperlink>
      <w:r>
        <w:rPr>
          <w:rFonts w:ascii="Arial" w:cs="Arial" w:eastAsia="Arial" w:hAnsi="Arial"/>
          <w:sz w:val="24"/>
          <w:szCs w:val="24"/>
        </w:rPr>
        <w:t xml:space="preserve"> основных понятий и принципов оценки, утвержденных </w:t>
      </w:r>
      <w:hyperlink w:history="1" r:id="rIdrwiifuhjs9uwmnzvo_u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217.</w:t>
      </w:r>
    </w:p>
    <w:p>
      <w:pPr>
        <w:spacing w:after="60"/>
        <w:ind w:firstLine="567"/>
        <w:jc w:val="both"/>
      </w:pPr>
      <w:r>
        <w:rPr>
          <w:rFonts w:ascii="Arial" w:cs="Arial" w:eastAsia="Arial" w:hAnsi="Arial"/>
          <w:sz w:val="24"/>
          <w:szCs w:val="24"/>
        </w:rPr>
        <w:t xml:space="preserve">При этом в рамках настоящего Порядка:</w:t>
      </w:r>
    </w:p>
    <w:p>
      <w:pPr>
        <w:spacing w:after="60"/>
        <w:ind w:firstLine="567"/>
        <w:jc w:val="both"/>
      </w:pPr>
      <w:r>
        <w:rPr>
          <w:rFonts w:ascii="Arial" w:cs="Arial" w:eastAsia="Arial" w:hAnsi="Arial"/>
          <w:sz w:val="24"/>
          <w:szCs w:val="24"/>
        </w:rPr>
        <w:t xml:space="preserve">Залог - это способ обеспечения исполнения денежного или выраженного в денежной форме обязательства под залог права собственности или иного вещного права на имущество.</w:t>
      </w:r>
    </w:p>
    <w:p>
      <w:pPr>
        <w:spacing w:after="60"/>
        <w:ind w:firstLine="567"/>
        <w:jc w:val="both"/>
      </w:pPr>
      <w:r>
        <w:rPr>
          <w:rFonts w:ascii="Arial" w:cs="Arial" w:eastAsia="Arial" w:hAnsi="Arial"/>
          <w:sz w:val="24"/>
          <w:szCs w:val="24"/>
        </w:rPr>
        <w:t xml:space="preserve">Справедливая стоимость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60"/>
        <w:ind w:firstLine="567"/>
        <w:jc w:val="both"/>
      </w:pPr>
      <w:r>
        <w:rPr>
          <w:rFonts w:ascii="Arial" w:cs="Arial" w:eastAsia="Arial" w:hAnsi="Arial"/>
          <w:sz w:val="24"/>
          <w:szCs w:val="24"/>
        </w:rPr>
        <w:t xml:space="preserve">Ликвидационная стоимость - это стоимость актива, которая реально может быть получена при реализации актива в короткие сроки, без должного маркетинга и рекламы.</w:t>
      </w:r>
    </w:p>
    <w:p>
      <w:pPr>
        <w:spacing w:after="60"/>
        <w:ind w:firstLine="567"/>
        <w:jc w:val="both"/>
      </w:pPr>
      <w:r>
        <w:rPr>
          <w:rFonts w:ascii="Arial" w:cs="Arial" w:eastAsia="Arial" w:hAnsi="Arial"/>
          <w:sz w:val="24"/>
          <w:szCs w:val="24"/>
        </w:rPr>
        <w:t xml:space="preserve">Драгоценные металлы - золото, серебро, платина и металлы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изделиях, ломе и отходах.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Требования к предметам залога</w:t>
      </w:r>
    </w:p>
    <w:p>
      <w:pPr>
        <w:spacing w:after="60"/>
        <w:ind w:firstLine="567"/>
        <w:jc w:val="both"/>
      </w:pPr>
      <w:r>
        <w:rPr>
          <w:rFonts w:ascii="Arial" w:cs="Arial" w:eastAsia="Arial" w:hAnsi="Arial"/>
          <w:sz w:val="24"/>
          <w:szCs w:val="24"/>
        </w:rPr>
        <w:t xml:space="preserve">5. При осуществлении операций, связанных с кредитованием, выдачей гарантий и аккредитивов, одним из способов обеспечения исполнения обязательств заемщиков перед банком/ФКО является залог. Помимо залога, исполнение обязательств может обеспечиваться поручительством, гарантией и иными способами,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6. Предмет залога должен отвечать требованиям законодательства Кыргызской Республики.</w:t>
      </w:r>
    </w:p>
    <w:p>
      <w:pPr>
        <w:spacing w:after="120"/>
        <w:jc w:val="both"/>
      </w:pPr>
      <w:r>
        <w:rPr>
          <w:rFonts w:ascii="Arial" w:cs="Arial" w:eastAsia="Arial" w:hAnsi="Arial"/>
          <w:sz w:val="24"/>
          <w:szCs w:val="24"/>
        </w:rPr>
        <w:t xml:space="preserve">7. Банки/ФКО должны в обязательном порядке иметь внутренние нормативные документы, регламентирующие основные принципы работы с различными видами залогового обеспечения по кредиту, а также раскрывающие основные риски, связанные с соответствующими видами обеспечения по кредиту.</w:t>
      </w:r>
    </w:p>
    <w:p>
      <w:pPr>
        <w:spacing w:after="120"/>
        <w:jc w:val="both"/>
      </w:pPr>
      <w:r>
        <w:rPr>
          <w:rFonts w:ascii="Arial" w:cs="Arial" w:eastAsia="Arial" w:hAnsi="Arial"/>
          <w:sz w:val="24"/>
          <w:szCs w:val="24"/>
        </w:rPr>
        <w:t xml:space="preserve">Банку/ФКО запрещается принимать в качестве залогового обеспечения:</w:t>
      </w:r>
    </w:p>
    <w:p>
      <w:pPr>
        <w:spacing w:after="120"/>
        <w:jc w:val="both"/>
      </w:pPr>
      <w:r>
        <w:rPr>
          <w:rFonts w:ascii="Arial" w:cs="Arial" w:eastAsia="Arial" w:hAnsi="Arial"/>
          <w:sz w:val="24"/>
          <w:szCs w:val="24"/>
        </w:rPr>
        <w:t xml:space="preserve">- товары в обороте, находящиеся за пределами Кыргызской Республики, в качестве единственного залогового обеспечения;</w:t>
      </w:r>
    </w:p>
    <w:p>
      <w:pPr>
        <w:spacing w:after="120"/>
        <w:jc w:val="both"/>
      </w:pPr>
      <w:r>
        <w:rPr>
          <w:rFonts w:ascii="Arial" w:cs="Arial" w:eastAsia="Arial" w:hAnsi="Arial"/>
          <w:sz w:val="24"/>
          <w:szCs w:val="24"/>
        </w:rPr>
        <w:t xml:space="preserve">- документарные, недокументарные ценные бумаги, включая простые и переводные векселя, выпущенные эмитентами-нерезидентами Кыргызской Республики и находящиеся во владении у физических лиц и/или хранящиеся в депозитариях, не имеющих высокий рейтинг, за исключением высокорейтинговых, высоколиквидных ценных бумаг, включенных в листинги фондовых бирж, в том числе международных, и обращающихся на фондовых рынках ценных бумаг развитых стран, а также ордерных ценных бумаг, являющиеся частью двойного складского свидетельства;</w:t>
      </w:r>
    </w:p>
    <w:p>
      <w:pPr>
        <w:spacing w:after="120"/>
        <w:jc w:val="both"/>
      </w:pPr>
      <w:r>
        <w:rPr>
          <w:rFonts w:ascii="Arial" w:cs="Arial" w:eastAsia="Arial" w:hAnsi="Arial"/>
          <w:sz w:val="24"/>
          <w:szCs w:val="24"/>
        </w:rPr>
        <w:t xml:space="preserve">- активы, зарегистрированные и/или находящиеся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4tqpc7djw6zt0jwb6t8yx">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Если кредитной политикой предусмотрено принятие залогового имущества в обеспечение кредитов находящееся за пределами Кыргызской Республики, в этом случае Совет директоров банка/ФКО несет ответственность за возврат кредитов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При принятии в залог имущества, находящегося (зарегистрированного) за пределами Кыргызской Республики, банк/ФКО при оценке риска связанного с залоговым обеспечением основывается на информации о рынке движимого и недвижимого имущества по месту его нахождения с учетом влияния странового риска.</w:t>
      </w:r>
    </w:p>
    <w:p>
      <w:pPr>
        <w:spacing w:after="60"/>
        <w:ind w:firstLine="567"/>
        <w:jc w:val="both"/>
      </w:pPr>
      <w:r>
        <w:rPr>
          <w:rFonts w:ascii="Arial" w:cs="Arial" w:eastAsia="Arial" w:hAnsi="Arial"/>
          <w:sz w:val="24"/>
          <w:szCs w:val="24"/>
        </w:rPr>
        <w:t xml:space="preserve">10. Банк/ФКО должен проанализировать состояние рынка движимого и недвижимого имущества и определить критерии качества по которым принимается то или иное имущество в залог. Критерии качества в зависимости от вида заложенного имущества могут быть различными и как минимум учитывать следующие:</w:t>
      </w:r>
    </w:p>
    <w:p>
      <w:pPr>
        <w:spacing w:after="60"/>
        <w:ind w:firstLine="567"/>
        <w:jc w:val="both"/>
      </w:pPr>
      <w:r>
        <w:rPr>
          <w:rFonts w:ascii="Arial" w:cs="Arial" w:eastAsia="Arial" w:hAnsi="Arial"/>
          <w:sz w:val="24"/>
          <w:szCs w:val="24"/>
        </w:rPr>
        <w:t xml:space="preserve">- стабильность справедливой цены;</w:t>
      </w:r>
    </w:p>
    <w:p>
      <w:pPr>
        <w:spacing w:after="60"/>
        <w:ind w:firstLine="567"/>
        <w:jc w:val="both"/>
      </w:pPr>
      <w:r>
        <w:rPr>
          <w:rFonts w:ascii="Arial" w:cs="Arial" w:eastAsia="Arial" w:hAnsi="Arial"/>
          <w:sz w:val="24"/>
          <w:szCs w:val="24"/>
        </w:rPr>
        <w:t xml:space="preserve">- долговечность хранения;</w:t>
      </w:r>
    </w:p>
    <w:p>
      <w:pPr>
        <w:spacing w:after="60"/>
        <w:ind w:firstLine="567"/>
        <w:jc w:val="both"/>
      </w:pPr>
      <w:r>
        <w:rPr>
          <w:rFonts w:ascii="Arial" w:cs="Arial" w:eastAsia="Arial" w:hAnsi="Arial"/>
          <w:sz w:val="24"/>
          <w:szCs w:val="24"/>
        </w:rPr>
        <w:t xml:space="preserve">- ликвидность (возможность реализации в краткосрочный период);</w:t>
      </w:r>
    </w:p>
    <w:p>
      <w:pPr>
        <w:spacing w:after="60"/>
        <w:ind w:firstLine="567"/>
        <w:jc w:val="both"/>
      </w:pPr>
      <w:r>
        <w:rPr>
          <w:rFonts w:ascii="Arial" w:cs="Arial" w:eastAsia="Arial" w:hAnsi="Arial"/>
          <w:sz w:val="24"/>
          <w:szCs w:val="24"/>
        </w:rPr>
        <w:t xml:space="preserve">- возможность идентифицировать товар и сохранность потребительских свойств;</w:t>
      </w:r>
    </w:p>
    <w:p>
      <w:pPr>
        <w:spacing w:after="60"/>
        <w:ind w:firstLine="567"/>
        <w:jc w:val="both"/>
      </w:pPr>
      <w:r>
        <w:rPr>
          <w:rFonts w:ascii="Arial" w:cs="Arial" w:eastAsia="Arial" w:hAnsi="Arial"/>
          <w:sz w:val="24"/>
          <w:szCs w:val="24"/>
        </w:rPr>
        <w:t xml:space="preserve">- другие условия.</w:t>
      </w:r>
    </w:p>
    <w:p>
      <w:pPr>
        <w:spacing w:after="60"/>
        <w:ind w:firstLine="567"/>
        <w:jc w:val="both"/>
      </w:pPr>
      <w:r>
        <w:rPr>
          <w:rFonts w:ascii="Arial" w:cs="Arial" w:eastAsia="Arial" w:hAnsi="Arial"/>
          <w:sz w:val="24"/>
          <w:szCs w:val="24"/>
        </w:rPr>
        <w:t xml:space="preserve">11. Банк/ФКО должен удостовериться в наличии залогового имущества с выездом на место его нахождения и проверить его качество. По результатам проверки составляется отчет, который заверяется подписью начальника кредитного управления и содержащий как минимум следующую информацию:</w:t>
      </w:r>
    </w:p>
    <w:p>
      <w:pPr>
        <w:spacing w:after="60"/>
        <w:ind w:firstLine="567"/>
        <w:jc w:val="both"/>
      </w:pPr>
      <w:r>
        <w:rPr>
          <w:rFonts w:ascii="Arial" w:cs="Arial" w:eastAsia="Arial" w:hAnsi="Arial"/>
          <w:sz w:val="24"/>
          <w:szCs w:val="24"/>
        </w:rPr>
        <w:t xml:space="preserve">- месторасположение залога;</w:t>
      </w:r>
    </w:p>
    <w:p>
      <w:pPr>
        <w:spacing w:after="60"/>
        <w:ind w:firstLine="567"/>
        <w:jc w:val="both"/>
      </w:pPr>
      <w:r>
        <w:rPr>
          <w:rFonts w:ascii="Arial" w:cs="Arial" w:eastAsia="Arial" w:hAnsi="Arial"/>
          <w:sz w:val="24"/>
          <w:szCs w:val="24"/>
        </w:rPr>
        <w:t xml:space="preserve">- условия хранения залога;</w:t>
      </w:r>
    </w:p>
    <w:p>
      <w:pPr>
        <w:spacing w:after="60"/>
        <w:ind w:firstLine="567"/>
        <w:jc w:val="both"/>
      </w:pPr>
      <w:r>
        <w:rPr>
          <w:rFonts w:ascii="Arial" w:cs="Arial" w:eastAsia="Arial" w:hAnsi="Arial"/>
          <w:sz w:val="24"/>
          <w:szCs w:val="24"/>
        </w:rPr>
        <w:t xml:space="preserve">- качественные и количественные параметры залога;</w:t>
      </w:r>
    </w:p>
    <w:p>
      <w:pPr>
        <w:spacing w:after="60"/>
        <w:ind w:firstLine="567"/>
        <w:jc w:val="both"/>
      </w:pPr>
      <w:r>
        <w:rPr>
          <w:rFonts w:ascii="Arial" w:cs="Arial" w:eastAsia="Arial" w:hAnsi="Arial"/>
          <w:sz w:val="24"/>
          <w:szCs w:val="24"/>
        </w:rPr>
        <w:t xml:space="preserve">- справедливая стоимость на основе внутренней оценки или оценки независимых экспертов;</w:t>
      </w:r>
    </w:p>
    <w:p>
      <w:pPr>
        <w:spacing w:after="60"/>
        <w:ind w:firstLine="567"/>
        <w:jc w:val="both"/>
      </w:pPr>
      <w:r>
        <w:rPr>
          <w:rFonts w:ascii="Arial" w:cs="Arial" w:eastAsia="Arial" w:hAnsi="Arial"/>
          <w:sz w:val="24"/>
          <w:szCs w:val="24"/>
        </w:rPr>
        <w:t xml:space="preserve">- использованные подходы и/или методология оценки стоимости залога;</w:t>
      </w:r>
    </w:p>
    <w:p>
      <w:pPr>
        <w:spacing w:after="60"/>
        <w:ind w:firstLine="567"/>
        <w:jc w:val="both"/>
      </w:pPr>
      <w:r>
        <w:rPr>
          <w:rFonts w:ascii="Arial" w:cs="Arial" w:eastAsia="Arial" w:hAnsi="Arial"/>
          <w:sz w:val="24"/>
          <w:szCs w:val="24"/>
        </w:rPr>
        <w:t xml:space="preserve">- другие.</w:t>
      </w:r>
    </w:p>
    <w:p>
      <w:pPr>
        <w:spacing w:after="60"/>
        <w:ind w:firstLine="567"/>
        <w:jc w:val="both"/>
      </w:pPr>
      <w:r>
        <w:rPr>
          <w:rFonts w:ascii="Arial" w:cs="Arial" w:eastAsia="Arial" w:hAnsi="Arial"/>
          <w:sz w:val="24"/>
          <w:szCs w:val="24"/>
        </w:rPr>
        <w:t xml:space="preserve">12. Данные отчета используются при определении возможной суммы выдаваемого кредита.</w:t>
      </w:r>
    </w:p>
    <w:p>
      <w:pPr>
        <w:spacing w:after="60"/>
        <w:ind w:firstLine="567"/>
        <w:jc w:val="both"/>
      </w:pPr>
      <w:r>
        <w:rPr>
          <w:rFonts w:ascii="Arial" w:cs="Arial" w:eastAsia="Arial" w:hAnsi="Arial"/>
          <w:sz w:val="24"/>
          <w:szCs w:val="24"/>
        </w:rPr>
        <w:t xml:space="preserve">13. Замена предмета залога залогодателем допускается только с письменного согласия банка/ФКО.</w:t>
      </w:r>
    </w:p>
    <w:p>
      <w:pPr>
        <w:spacing w:after="60"/>
        <w:ind w:firstLine="567"/>
        <w:jc w:val="both"/>
      </w:pPr>
      <w:r>
        <w:rPr>
          <w:rFonts w:ascii="Arial" w:cs="Arial" w:eastAsia="Arial" w:hAnsi="Arial"/>
          <w:sz w:val="24"/>
          <w:szCs w:val="24"/>
        </w:rPr>
        <w:t xml:space="preserve">14. Если в качестве залогового имущества принимаются товары в обороте, драгоценные металлы, то при заключении договора о залоге следует указать, что изменять состав и натуральную форму заложенного имущества залогодатель может при условии:</w:t>
      </w:r>
    </w:p>
    <w:p>
      <w:pPr>
        <w:spacing w:after="60"/>
        <w:ind w:firstLine="567"/>
        <w:jc w:val="both"/>
      </w:pPr>
      <w:r>
        <w:rPr>
          <w:rFonts w:ascii="Arial" w:cs="Arial" w:eastAsia="Arial" w:hAnsi="Arial"/>
          <w:sz w:val="24"/>
          <w:szCs w:val="24"/>
        </w:rPr>
        <w:t xml:space="preserve">а) его ликвидности, а также если общая стоимость закладываемого имущества не меньше стоимости, указанной в договоре о залоге;</w:t>
      </w:r>
    </w:p>
    <w:p>
      <w:pPr>
        <w:spacing w:after="60"/>
        <w:ind w:firstLine="567"/>
        <w:jc w:val="both"/>
      </w:pPr>
      <w:r>
        <w:rPr>
          <w:rFonts w:ascii="Arial" w:cs="Arial" w:eastAsia="Arial" w:hAnsi="Arial"/>
          <w:sz w:val="24"/>
          <w:szCs w:val="24"/>
        </w:rPr>
        <w:t xml:space="preserve">б) обеспечение кредитов только товарами в обороте и драгоценными металлами должно быть не менее 150% от суммы кредита, за исключением золотых аффинированных мерных слитков, эмитируемых Национальным банком.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 </w:t>
      </w:r>
      <w:hyperlink w:history="1" r:id="rIdb6-o07dtt0t21xcnoxavf">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Если предлагаемые в залог товары в обороте являются предметом купли-продажи (не производятся самим залогодателем), необходимо наличие контрактов (договоров купли-продажи) на приобретение товаров и других документов (накладных, инвойсов, сертификатов, платежных документов), либо иные документы подтверждающие право собственности залогодателя.</w:t>
      </w:r>
    </w:p>
    <w:p>
      <w:pPr>
        <w:spacing w:after="60"/>
        <w:ind w:firstLine="567"/>
        <w:jc w:val="both"/>
      </w:pPr>
      <w:r>
        <w:rPr>
          <w:rFonts w:ascii="Arial" w:cs="Arial" w:eastAsia="Arial" w:hAnsi="Arial"/>
          <w:sz w:val="24"/>
          <w:szCs w:val="24"/>
        </w:rPr>
        <w:t xml:space="preserve">16. Внутренние документы банка/ФКО по залоговому обеспечению должны соответствовать требованиям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и как минимум содержать следующие:</w:t>
      </w:r>
    </w:p>
    <w:p>
      <w:pPr>
        <w:spacing w:after="60"/>
        <w:ind w:firstLine="567"/>
        <w:jc w:val="both"/>
      </w:pPr>
      <w:r>
        <w:rPr>
          <w:rFonts w:ascii="Arial" w:cs="Arial" w:eastAsia="Arial" w:hAnsi="Arial"/>
          <w:sz w:val="24"/>
          <w:szCs w:val="24"/>
        </w:rPr>
        <w:t xml:space="preserve">- условия и требования принятия залога в качестве обеспечения кредита;</w:t>
      </w:r>
    </w:p>
    <w:p>
      <w:pPr>
        <w:spacing w:after="60"/>
        <w:ind w:firstLine="567"/>
        <w:jc w:val="both"/>
      </w:pPr>
      <w:r>
        <w:rPr>
          <w:rFonts w:ascii="Arial" w:cs="Arial" w:eastAsia="Arial" w:hAnsi="Arial"/>
          <w:sz w:val="24"/>
          <w:szCs w:val="24"/>
        </w:rPr>
        <w:t xml:space="preserve">- виды залогов и ограничения по видам залога;</w:t>
      </w:r>
    </w:p>
    <w:p>
      <w:pPr>
        <w:spacing w:after="60"/>
        <w:ind w:firstLine="567"/>
        <w:jc w:val="both"/>
      </w:pPr>
      <w:r>
        <w:rPr>
          <w:rFonts w:ascii="Arial" w:cs="Arial" w:eastAsia="Arial" w:hAnsi="Arial"/>
          <w:sz w:val="24"/>
          <w:szCs w:val="24"/>
        </w:rPr>
        <w:t xml:space="preserve">- методы оценки залога;</w:t>
      </w:r>
    </w:p>
    <w:p>
      <w:pPr>
        <w:spacing w:after="60"/>
        <w:ind w:firstLine="567"/>
        <w:jc w:val="both"/>
      </w:pPr>
      <w:r>
        <w:rPr>
          <w:rFonts w:ascii="Arial" w:cs="Arial" w:eastAsia="Arial" w:hAnsi="Arial"/>
          <w:sz w:val="24"/>
          <w:szCs w:val="24"/>
        </w:rPr>
        <w:t xml:space="preserve">- привлечение независимого оценщика;</w:t>
      </w:r>
    </w:p>
    <w:p>
      <w:pPr>
        <w:spacing w:after="60"/>
        <w:ind w:firstLine="567"/>
        <w:jc w:val="both"/>
      </w:pPr>
      <w:r>
        <w:rPr>
          <w:rFonts w:ascii="Arial" w:cs="Arial" w:eastAsia="Arial" w:hAnsi="Arial"/>
          <w:sz w:val="24"/>
          <w:szCs w:val="24"/>
        </w:rPr>
        <w:t xml:space="preserve">- количественное соотношение величины кредита и справедливой стоимостью залога;</w:t>
      </w:r>
    </w:p>
    <w:p>
      <w:pPr>
        <w:spacing w:after="60"/>
        <w:ind w:firstLine="567"/>
        <w:jc w:val="both"/>
      </w:pPr>
      <w:r>
        <w:rPr>
          <w:rFonts w:ascii="Arial" w:cs="Arial" w:eastAsia="Arial" w:hAnsi="Arial"/>
          <w:sz w:val="24"/>
          <w:szCs w:val="24"/>
        </w:rPr>
        <w:t xml:space="preserve">- порядок и условия замены залогового имущества;</w:t>
      </w:r>
    </w:p>
    <w:p>
      <w:pPr>
        <w:spacing w:after="60"/>
        <w:ind w:firstLine="567"/>
        <w:jc w:val="both"/>
      </w:pPr>
      <w:r>
        <w:rPr>
          <w:rFonts w:ascii="Arial" w:cs="Arial" w:eastAsia="Arial" w:hAnsi="Arial"/>
          <w:sz w:val="24"/>
          <w:szCs w:val="24"/>
        </w:rPr>
        <w:t xml:space="preserve">- мониторинг залога;</w:t>
      </w:r>
    </w:p>
    <w:p>
      <w:pPr>
        <w:spacing w:after="60"/>
        <w:ind w:firstLine="567"/>
        <w:jc w:val="both"/>
      </w:pPr>
      <w:r>
        <w:rPr>
          <w:rFonts w:ascii="Arial" w:cs="Arial" w:eastAsia="Arial" w:hAnsi="Arial"/>
          <w:sz w:val="24"/>
          <w:szCs w:val="24"/>
        </w:rPr>
        <w:t xml:space="preserve">- порядок изъятия и реализации заложенного имущества, с учетом требований законодательства об обращении взыскания на предмет залога, имеющего значительную историческую, художественную или иную культурную ценность для общества, а также являющимся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Оценка залога</w:t>
      </w:r>
    </w:p>
    <w:p>
      <w:pPr>
        <w:spacing w:after="60"/>
        <w:ind w:firstLine="567"/>
        <w:jc w:val="both"/>
      </w:pPr>
      <w:r>
        <w:rPr>
          <w:rFonts w:ascii="Arial" w:cs="Arial" w:eastAsia="Arial" w:hAnsi="Arial"/>
          <w:sz w:val="24"/>
          <w:szCs w:val="24"/>
        </w:rPr>
        <w:t xml:space="preserve">17. При оценке залога банки/ФКО могут руководствоваться Стандартами оценки имущества, обязательными к применению всеми субъектами оценочной деятельности в Кыргызской Республике, утвержденными </w:t>
      </w:r>
      <w:hyperlink w:history="1" r:id="rIde-jpbnplbjyd6hjkfjd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N 217 от 3 апреля 2006 года:</w:t>
      </w:r>
    </w:p>
    <w:p>
      <w:pPr>
        <w:spacing w:after="60"/>
        <w:ind w:firstLine="567"/>
        <w:jc w:val="both"/>
      </w:pPr>
      <w:r>
        <w:rPr>
          <w:rFonts w:ascii="Arial" w:cs="Arial" w:eastAsia="Arial" w:hAnsi="Arial"/>
          <w:sz w:val="24"/>
          <w:szCs w:val="24"/>
        </w:rPr>
        <w:t xml:space="preserve">- </w:t>
      </w:r>
      <w:hyperlink w:history="1" r:id="rId-wv9pzlh7yneufrbeabhg">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основных понятий и принципов оценки;</w:t>
      </w:r>
    </w:p>
    <w:p>
      <w:pPr>
        <w:spacing w:after="60"/>
        <w:ind w:firstLine="567"/>
        <w:jc w:val="both"/>
      </w:pPr>
      <w:r>
        <w:rPr>
          <w:rFonts w:ascii="Arial" w:cs="Arial" w:eastAsia="Arial" w:hAnsi="Arial"/>
          <w:sz w:val="24"/>
          <w:szCs w:val="24"/>
        </w:rPr>
        <w:t xml:space="preserve">- </w:t>
      </w:r>
      <w:hyperlink w:history="1" r:id="rIdqho-3pz1ibomragxnblz3">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оценки бизнеса;</w:t>
      </w:r>
    </w:p>
    <w:p>
      <w:pPr>
        <w:spacing w:after="60"/>
        <w:ind w:firstLine="567"/>
        <w:jc w:val="both"/>
      </w:pPr>
      <w:r>
        <w:rPr>
          <w:rFonts w:ascii="Arial" w:cs="Arial" w:eastAsia="Arial" w:hAnsi="Arial"/>
          <w:sz w:val="24"/>
          <w:szCs w:val="24"/>
        </w:rPr>
        <w:t xml:space="preserve">- </w:t>
      </w:r>
      <w:hyperlink w:history="1" r:id="rIdjpjyeukq0xvtb1vsreova">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оценки движимого имущества;</w:t>
      </w:r>
    </w:p>
    <w:p>
      <w:pPr>
        <w:spacing w:after="60"/>
        <w:ind w:firstLine="567"/>
        <w:jc w:val="both"/>
      </w:pPr>
      <w:r>
        <w:rPr>
          <w:rFonts w:ascii="Arial" w:cs="Arial" w:eastAsia="Arial" w:hAnsi="Arial"/>
          <w:sz w:val="24"/>
          <w:szCs w:val="24"/>
        </w:rPr>
        <w:t xml:space="preserve">- </w:t>
      </w:r>
      <w:hyperlink w:history="1" r:id="rId2ek4jf-ffuxtvnz7jam57">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оценки недвижимого имущества;</w:t>
      </w:r>
    </w:p>
    <w:p>
      <w:pPr>
        <w:spacing w:after="60"/>
        <w:ind w:firstLine="567"/>
        <w:jc w:val="both"/>
      </w:pPr>
      <w:r>
        <w:rPr>
          <w:rFonts w:ascii="Arial" w:cs="Arial" w:eastAsia="Arial" w:hAnsi="Arial"/>
          <w:sz w:val="24"/>
          <w:szCs w:val="24"/>
        </w:rPr>
        <w:t xml:space="preserve">- </w:t>
      </w:r>
      <w:hyperlink w:history="1" r:id="rId6i3sxtn-ngmvrvu_o9ztb">
        <w:r>
          <w:rPr>
            <w:rFonts w:ascii="Arial" w:cs="Arial" w:eastAsia="Arial" w:hAnsi="Arial"/>
            <w:color w:val="1D4ED8"/>
            <w:sz w:val="24"/>
            <w:szCs w:val="24"/>
            <w:u w:val="single"/>
          </w:rPr>
          <w:t xml:space="preserve">стандарт</w:t>
        </w:r>
      </w:hyperlink>
      <w:r>
        <w:rPr>
          <w:rFonts w:ascii="Arial" w:cs="Arial" w:eastAsia="Arial" w:hAnsi="Arial"/>
          <w:sz w:val="24"/>
          <w:szCs w:val="24"/>
        </w:rPr>
        <w:t xml:space="preserve"> требований к содержанию и оформлению отчета об оценке.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Оценка имущества предоставляемого в залог, является обязательным условием при кредитовании и необходима для определения достаточности стоимости залога для покрытия соответствующего обязательства заемщика перед банком/ФКО.</w:t>
      </w:r>
    </w:p>
    <w:p>
      <w:pPr>
        <w:spacing w:after="60"/>
        <w:ind w:firstLine="567"/>
        <w:jc w:val="both"/>
      </w:pPr>
      <w:r>
        <w:rPr>
          <w:rFonts w:ascii="Arial" w:cs="Arial" w:eastAsia="Arial" w:hAnsi="Arial"/>
          <w:sz w:val="24"/>
          <w:szCs w:val="24"/>
        </w:rPr>
        <w:t xml:space="preserve">19. Оценка движимого имущества в виде денежных средств (в национальной и иностранной валютах) и драгоценных металлов, размещенных на отдельных банковских счетах, осуществляется по номинальной стоимости.</w:t>
      </w:r>
    </w:p>
    <w:p>
      <w:pPr>
        <w:spacing w:after="60"/>
        <w:ind w:firstLine="567"/>
        <w:jc w:val="both"/>
      </w:pPr>
      <w:r>
        <w:rPr>
          <w:rFonts w:ascii="Arial" w:cs="Arial" w:eastAsia="Arial" w:hAnsi="Arial"/>
          <w:sz w:val="24"/>
          <w:szCs w:val="24"/>
        </w:rPr>
        <w:t xml:space="preserve">При оценке стоимости обеспечения в виде драгоценных металлов не учитываются художественная ценность, наличие драгоценных, полудрагоценных и прочих камней, оценке подлежит исключительно драгоценный металл.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При рассмотрении банком/ФКО предмета залога в качестве обеспечения кредитов, следует принять во внимание следующие характеристики залога:</w:t>
      </w:r>
    </w:p>
    <w:p>
      <w:pPr>
        <w:spacing w:after="60"/>
        <w:ind w:firstLine="567"/>
        <w:jc w:val="both"/>
      </w:pPr>
      <w:r>
        <w:rPr>
          <w:rFonts w:ascii="Arial" w:cs="Arial" w:eastAsia="Arial" w:hAnsi="Arial"/>
          <w:sz w:val="24"/>
          <w:szCs w:val="24"/>
        </w:rPr>
        <w:t xml:space="preserve">- справедливая стоимость предмета залога;</w:t>
      </w:r>
    </w:p>
    <w:p>
      <w:pPr>
        <w:spacing w:after="60"/>
        <w:ind w:firstLine="567"/>
        <w:jc w:val="both"/>
      </w:pPr>
      <w:r>
        <w:rPr>
          <w:rFonts w:ascii="Arial" w:cs="Arial" w:eastAsia="Arial" w:hAnsi="Arial"/>
          <w:sz w:val="24"/>
          <w:szCs w:val="24"/>
        </w:rPr>
        <w:t xml:space="preserve">- степень ликвидности на текущий момент (возможность быстрой реализации);</w:t>
      </w:r>
    </w:p>
    <w:p>
      <w:pPr>
        <w:spacing w:after="60"/>
        <w:ind w:firstLine="567"/>
        <w:jc w:val="both"/>
      </w:pPr>
      <w:r>
        <w:rPr>
          <w:rFonts w:ascii="Arial" w:cs="Arial" w:eastAsia="Arial" w:hAnsi="Arial"/>
          <w:sz w:val="24"/>
          <w:szCs w:val="24"/>
        </w:rPr>
        <w:t xml:space="preserve">- значимость (существенность) имущества передаваемого в залог для собственника;</w:t>
      </w:r>
    </w:p>
    <w:p>
      <w:pPr>
        <w:spacing w:after="60"/>
        <w:ind w:firstLine="567"/>
        <w:jc w:val="both"/>
      </w:pPr>
      <w:r>
        <w:rPr>
          <w:rFonts w:ascii="Arial" w:cs="Arial" w:eastAsia="Arial" w:hAnsi="Arial"/>
          <w:sz w:val="24"/>
          <w:szCs w:val="24"/>
        </w:rPr>
        <w:t xml:space="preserve">- прогноз изменения стоимости предмета залога во времени и информация о произведенных продажах данного вида залога в течение предыдущих нескольких лет в зависимости от типа залога как минимум один раз в год;</w:t>
      </w:r>
    </w:p>
    <w:p>
      <w:pPr>
        <w:spacing w:after="60"/>
        <w:ind w:firstLine="567"/>
        <w:jc w:val="both"/>
      </w:pPr>
      <w:r>
        <w:rPr>
          <w:rFonts w:ascii="Arial" w:cs="Arial" w:eastAsia="Arial" w:hAnsi="Arial"/>
          <w:sz w:val="24"/>
          <w:szCs w:val="24"/>
        </w:rPr>
        <w:t xml:space="preserve">- определение размера издержек сопряженных с процессом обращения взыскания на предмет залога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описание текущих экономических условий и ситуации на рынке, которые влияют на справедливую стоимость залога по месту расположения залогового имущества;</w:t>
      </w:r>
    </w:p>
    <w:p>
      <w:pPr>
        <w:spacing w:after="60"/>
        <w:ind w:firstLine="567"/>
        <w:jc w:val="both"/>
      </w:pPr>
      <w:r>
        <w:rPr>
          <w:rFonts w:ascii="Arial" w:cs="Arial" w:eastAsia="Arial" w:hAnsi="Arial"/>
          <w:sz w:val="24"/>
          <w:szCs w:val="24"/>
        </w:rPr>
        <w:t xml:space="preserve">- другая необходимая информация для анализа.</w:t>
      </w:r>
    </w:p>
    <w:p>
      <w:pPr>
        <w:spacing w:after="60"/>
        <w:ind w:firstLine="567"/>
        <w:jc w:val="both"/>
      </w:pPr>
      <w:r>
        <w:rPr>
          <w:rFonts w:ascii="Arial" w:cs="Arial" w:eastAsia="Arial" w:hAnsi="Arial"/>
          <w:sz w:val="24"/>
          <w:szCs w:val="24"/>
        </w:rPr>
        <w:t xml:space="preserve">21. В документах банка/ФКО, регламентирующих основные принципы работы с залоговым имуществом необходимо предусмотреть, что если банк/ФКО не в состоянии самостоятельно, квалифицированно проводить оценку залогового имущества, банк/ФКО должен заключить договор с независимым оценщиком (экспертом), имеющим соответствующую квалификацию и опыт работы не менее 3 лет.</w:t>
      </w:r>
    </w:p>
    <w:p>
      <w:pPr>
        <w:spacing w:after="60"/>
        <w:ind w:firstLine="567"/>
        <w:jc w:val="both"/>
      </w:pPr>
      <w:r>
        <w:rPr>
          <w:rFonts w:ascii="Arial" w:cs="Arial" w:eastAsia="Arial" w:hAnsi="Arial"/>
          <w:sz w:val="24"/>
          <w:szCs w:val="24"/>
        </w:rPr>
        <w:t xml:space="preserve">22. При оценке залога необходимо принимать во внимание, то что стоимость залога должна покрывать обязательства заемщика перед банком/ФКО. Учитывая, что рынок недвижимости подвержен различным колебаниям, которые могут негативно отразиться на возможности банка/ФКО реализовать залог, важно, помимо справедливой стоимости учитывать и ликвидационную стоимость залога.</w:t>
      </w:r>
    </w:p>
    <w:p>
      <w:pPr>
        <w:spacing w:after="200" w:before="200"/>
        <w:jc w:val="center"/>
      </w:pPr>
      <w:r>
        <w:rPr>
          <w:rFonts w:ascii="Arial" w:cs="Arial" w:eastAsia="Arial" w:hAnsi="Arial"/>
          <w:b/>
          <w:bCs/>
          <w:sz w:val="24"/>
          <w:szCs w:val="24"/>
        </w:rPr>
        <w:t xml:space="preserve">4. Оформление залогового обеспечения кредита</w:t>
      </w:r>
    </w:p>
    <w:p>
      <w:pPr>
        <w:spacing w:after="60"/>
        <w:ind w:firstLine="567"/>
        <w:jc w:val="both"/>
      </w:pPr>
      <w:r>
        <w:rPr>
          <w:rFonts w:ascii="Arial" w:cs="Arial" w:eastAsia="Arial" w:hAnsi="Arial"/>
          <w:sz w:val="24"/>
          <w:szCs w:val="24"/>
        </w:rPr>
        <w:t xml:space="preserve">23. Взаимоотношения между банком/ФКО (залогодержателем) и заемщиком (залогодателем) оформляются договором о залоге, а также при необходимости:</w:t>
      </w:r>
    </w:p>
    <w:p>
      <w:pPr>
        <w:spacing w:after="60"/>
        <w:ind w:firstLine="567"/>
        <w:jc w:val="both"/>
      </w:pPr>
      <w:r>
        <w:rPr>
          <w:rFonts w:ascii="Arial" w:cs="Arial" w:eastAsia="Arial" w:hAnsi="Arial"/>
          <w:sz w:val="24"/>
          <w:szCs w:val="24"/>
        </w:rPr>
        <w:t xml:space="preserve">- договором о залоге либо соглашением, содержащими условия о порядке обращения взыскания на предмет залога во внесудебном порядке в отношении движимого имущества;</w:t>
      </w:r>
    </w:p>
    <w:p>
      <w:pPr>
        <w:spacing w:after="60"/>
        <w:ind w:firstLine="567"/>
        <w:jc w:val="both"/>
      </w:pPr>
      <w:r>
        <w:rPr>
          <w:rFonts w:ascii="Arial" w:cs="Arial" w:eastAsia="Arial" w:hAnsi="Arial"/>
          <w:sz w:val="24"/>
          <w:szCs w:val="24"/>
        </w:rPr>
        <w:t xml:space="preserve">- нотариально удостоверенным соглашением о порядке обращения взыскания на предмет залога во внесудебном порядке в отношении недвижимого имущества, если законодательством Кыргызской Республики и законодательством другой страны по месту нахождения залогового имущества предусмотрен внесудебный порядок обращения взыскания на предмет залога.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 Договор о залоге должен содержать норму о проведении оценки заложенного имущества на момент взыскания (при наступлении событий по взысканию имущества), которая определяется соглашением залогодержателя с залогодателем,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При этом, после принятия решения о проведении торгов по реализации недвижимости, принятой в счет погашения долга заемщика, но до начала проведения вышеуказанных торгов необходимо определить ее справедливую стоимость, в соответствии с требованиями Положения "Об отдельных сделках/операциях коммерческих банков и микрофинансовых компаний Кыргызской Республики с недвижимым имуществом, утвержденного постановлением Правления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cq7wlmnecsze3w6_3jxp">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случае если предмет залога остается во владении залогодателя, банк/ФКО вправе потребовать от него застраховать заложенное имущество. Срок страхования заложенного имущества должен устанавливаться с учетом времени, которое необходимо для возможного обращения банком/ФКО взыскания на предмет залога и его реализацию и возможностями страховых компаний.</w:t>
      </w:r>
    </w:p>
    <w:p>
      <w:pPr>
        <w:spacing w:after="200" w:before="200"/>
        <w:jc w:val="center"/>
      </w:pPr>
      <w:r>
        <w:rPr>
          <w:rFonts w:ascii="Arial" w:cs="Arial" w:eastAsia="Arial" w:hAnsi="Arial"/>
          <w:b/>
          <w:bCs/>
          <w:sz w:val="24"/>
          <w:szCs w:val="24"/>
        </w:rPr>
        <w:t xml:space="preserve">5. Контроль сохранности залога</w:t>
      </w:r>
    </w:p>
    <w:p>
      <w:pPr>
        <w:spacing w:after="60"/>
        <w:ind w:firstLine="567"/>
        <w:jc w:val="both"/>
      </w:pPr>
      <w:r>
        <w:rPr>
          <w:rFonts w:ascii="Arial" w:cs="Arial" w:eastAsia="Arial" w:hAnsi="Arial"/>
          <w:sz w:val="24"/>
          <w:szCs w:val="24"/>
        </w:rPr>
        <w:t xml:space="preserve">25. У банка/ФКО в обязательном порядке должна быть возможность осуществления контроля за наличием и сохранностью залогового имущества за все время действия кредитного договора.</w:t>
      </w:r>
    </w:p>
    <w:p>
      <w:pPr>
        <w:spacing w:after="60"/>
        <w:ind w:firstLine="567"/>
        <w:jc w:val="both"/>
      </w:pPr>
      <w:r>
        <w:rPr>
          <w:rFonts w:ascii="Arial" w:cs="Arial" w:eastAsia="Arial" w:hAnsi="Arial"/>
          <w:sz w:val="24"/>
          <w:szCs w:val="24"/>
        </w:rPr>
        <w:t xml:space="preserve">26. Осуществление контроля за залоговым имуществом должно быть обусловлено желанием банка/ФКО обезопасить себя от возможных потерь связанных с изменением рынка, падением спроса и цен, а также возможными злоупотреблениями со стороны заемщика.</w:t>
      </w:r>
    </w:p>
    <w:p>
      <w:pPr>
        <w:spacing w:after="60"/>
        <w:ind w:firstLine="567"/>
        <w:jc w:val="both"/>
      </w:pPr>
      <w:r>
        <w:rPr>
          <w:rFonts w:ascii="Arial" w:cs="Arial" w:eastAsia="Arial" w:hAnsi="Arial"/>
          <w:sz w:val="24"/>
          <w:szCs w:val="24"/>
        </w:rPr>
        <w:t xml:space="preserve">27. В течение срока действия кредитного договора необходимо осуществлять регулярный мониторинг заложенного имущества, который заключается в проведении осмотра, физического наличия, качества, условия хранения, соответствия текущей стоимости заложенного имущества к обязательствам заемщика перед банком.</w:t>
      </w:r>
    </w:p>
    <w:p>
      <w:pPr>
        <w:spacing w:after="60"/>
        <w:ind w:firstLine="567"/>
        <w:jc w:val="both"/>
      </w:pPr>
      <w:r>
        <w:rPr>
          <w:rFonts w:ascii="Arial" w:cs="Arial" w:eastAsia="Arial" w:hAnsi="Arial"/>
          <w:sz w:val="24"/>
          <w:szCs w:val="24"/>
        </w:rPr>
        <w:t xml:space="preserve">28. В случае изменения конъюнктуры рынка, не соответствия условий хранения залога, которые могут негативно повлиять на стоимость и состояние предметов залога, или есть угроза их утраты, банк/ФКО должен потребовать у заемщика принять меры к приведению в соответствие условия хранения либо замены залога на более ликвидный или предоставления дополнительного обеспечения.</w:t>
      </w:r>
    </w:p>
    <w:p>
      <w:pPr>
        <w:spacing w:after="60"/>
        <w:ind w:firstLine="567"/>
        <w:jc w:val="both"/>
      </w:pPr>
      <w:r>
        <w:rPr>
          <w:rFonts w:ascii="Arial" w:cs="Arial" w:eastAsia="Arial" w:hAnsi="Arial"/>
          <w:sz w:val="24"/>
          <w:szCs w:val="24"/>
        </w:rPr>
        <w:t xml:space="preserve">29. Если установлено, что наметились тенденции к ухудшению финансового состояния заемщика, банку/ФКО следует провести встречу с заемщиком для предотвращения наступления возможного риска не выполнения обязательств перед банком.</w:t>
      </w:r>
    </w:p>
    <w:p>
      <w:pPr>
        <w:spacing w:after="200" w:before="200"/>
        <w:jc w:val="center"/>
      </w:pPr>
      <w:r>
        <w:rPr>
          <w:rFonts w:ascii="Arial" w:cs="Arial" w:eastAsia="Arial" w:hAnsi="Arial"/>
          <w:b/>
          <w:bCs/>
          <w:sz w:val="24"/>
          <w:szCs w:val="24"/>
        </w:rPr>
        <w:t xml:space="preserve">6. Реализация залога</w:t>
      </w:r>
    </w:p>
    <w:p>
      <w:pPr>
        <w:spacing w:after="60"/>
        <w:ind w:firstLine="567"/>
        <w:jc w:val="both"/>
      </w:pPr>
      <w:r>
        <w:rPr>
          <w:rFonts w:ascii="Arial" w:cs="Arial" w:eastAsia="Arial" w:hAnsi="Arial"/>
          <w:sz w:val="24"/>
          <w:szCs w:val="24"/>
        </w:rPr>
        <w:t xml:space="preserve">30. Банк/ФКО во избежание возможных претензий со стороны заемщика, может предоставить ему возможность самостоятельно осуществить поиск покупателя на залоговое имущество (недвижимое имущество), после истечения срока добровольного исполнения обязательств, указанных в извещении согласно законодательству Кыргызской Республики.</w:t>
      </w:r>
    </w:p>
    <w:p>
      <w:pPr>
        <w:spacing w:after="60"/>
        <w:ind w:firstLine="567"/>
        <w:jc w:val="both"/>
      </w:pPr>
      <w:r>
        <w:rPr>
          <w:rFonts w:ascii="Arial" w:cs="Arial" w:eastAsia="Arial" w:hAnsi="Arial"/>
          <w:sz w:val="24"/>
          <w:szCs w:val="24"/>
        </w:rPr>
        <w:t xml:space="preserve">30-1. Если до даты продажи предмета залога на торгах или его приобретения залогодержателем, заемщик (залогодатель) предлагает залогодержателю кандидатуру покупателя, который может предложить цену, покрывающую сумму задолженности, то данное лицо имеет право преимущественной покупки. В этом случае залогодержатель не должен отказывать в реализации предмета залога. Соглашение, ограничивающее право, указанное в настоящем пункте, недействительно.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dx_pnyeclxlqftox3a8d">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Если вышеуказанные действия банка/ФКО не привели к положительному результату, следует начать процесс реализации залога, основываясь на договоре о залоге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31-1. При получении извещения от залогодержателя заемщик (залогодатель) вправе:</w:t>
      </w:r>
    </w:p>
    <w:p>
      <w:pPr>
        <w:spacing w:after="60"/>
        <w:ind w:firstLine="567"/>
        <w:jc w:val="both"/>
      </w:pPr>
      <w:r>
        <w:rPr>
          <w:rFonts w:ascii="Arial" w:cs="Arial" w:eastAsia="Arial" w:hAnsi="Arial"/>
          <w:sz w:val="24"/>
          <w:szCs w:val="24"/>
        </w:rPr>
        <w:t xml:space="preserve">1) заключить соглашение с залогодержателем об удовлетворении его требований, обеспеченных залогом, во внесудебном порядке; или</w:t>
      </w:r>
    </w:p>
    <w:p>
      <w:pPr>
        <w:spacing w:after="60"/>
        <w:ind w:firstLine="567"/>
        <w:jc w:val="both"/>
      </w:pPr>
      <w:r>
        <w:rPr>
          <w:rFonts w:ascii="Arial" w:cs="Arial" w:eastAsia="Arial" w:hAnsi="Arial"/>
          <w:sz w:val="24"/>
          <w:szCs w:val="24"/>
        </w:rPr>
        <w:t xml:space="preserve">2)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 или</w:t>
      </w:r>
    </w:p>
    <w:p>
      <w:pPr>
        <w:spacing w:after="60"/>
        <w:ind w:firstLine="567"/>
        <w:jc w:val="both"/>
      </w:pPr>
      <w:r>
        <w:rPr>
          <w:rFonts w:ascii="Arial" w:cs="Arial" w:eastAsia="Arial" w:hAnsi="Arial"/>
          <w:sz w:val="24"/>
          <w:szCs w:val="24"/>
        </w:rPr>
        <w:t xml:space="preserve">3)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e32_u5lqmnz97jwhwfyl">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Полученные денежные средства по результатам торгов распределяются в порядке установленном законом.</w:t>
      </w:r>
    </w:p>
    <w:p>
      <w:pPr>
        <w:spacing w:after="60"/>
        <w:ind w:firstLine="567"/>
        <w:jc w:val="both"/>
      </w:pPr>
      <w:r>
        <w:rPr>
          <w:rFonts w:ascii="Arial" w:cs="Arial" w:eastAsia="Arial" w:hAnsi="Arial"/>
          <w:sz w:val="24"/>
          <w:szCs w:val="24"/>
        </w:rPr>
        <w:t xml:space="preserve">33. В случае обращения взыскания в установленном законом порядке на предмет залога и принятия на баланс прочей собственности, банк/ФКО должен руководствоваться требованиями Национального банка Кыргызской Республики и международных стандартов финансовой отчетности.</w:t>
      </w:r>
    </w:p>
    <w:p>
      <w:pPr>
        <w:spacing w:after="60"/>
        <w:ind w:firstLine="567"/>
        <w:jc w:val="both"/>
      </w:pPr>
      <w:r>
        <w:rPr>
          <w:rFonts w:ascii="Arial" w:cs="Arial" w:eastAsia="Arial" w:hAnsi="Arial"/>
          <w:sz w:val="24"/>
          <w:szCs w:val="24"/>
        </w:rPr>
        <w:t xml:space="preserve">34. Банк/ФКО должен вести учет и отчетность (на электронных/бумажных носителях) залогового имущества с указанием следующих сведений:</w:t>
      </w:r>
    </w:p>
    <w:p>
      <w:pPr>
        <w:spacing w:after="60"/>
        <w:ind w:firstLine="567"/>
        <w:jc w:val="both"/>
      </w:pPr>
      <w:r>
        <w:rPr>
          <w:rFonts w:ascii="Arial" w:cs="Arial" w:eastAsia="Arial" w:hAnsi="Arial"/>
          <w:sz w:val="24"/>
          <w:szCs w:val="24"/>
        </w:rPr>
        <w:t xml:space="preserve">- Ф.и.о./наименование заемщика/залогодателя предоставившего залог;</w:t>
      </w:r>
    </w:p>
    <w:p>
      <w:pPr>
        <w:spacing w:after="60"/>
        <w:ind w:firstLine="567"/>
        <w:jc w:val="both"/>
      </w:pPr>
      <w:r>
        <w:rPr>
          <w:rFonts w:ascii="Arial" w:cs="Arial" w:eastAsia="Arial" w:hAnsi="Arial"/>
          <w:sz w:val="24"/>
          <w:szCs w:val="24"/>
        </w:rPr>
        <w:t xml:space="preserve">- вид залога, стоимость;</w:t>
      </w:r>
    </w:p>
    <w:p>
      <w:pPr>
        <w:spacing w:after="60"/>
        <w:ind w:firstLine="567"/>
        <w:jc w:val="both"/>
      </w:pPr>
      <w:r>
        <w:rPr>
          <w:rFonts w:ascii="Arial" w:cs="Arial" w:eastAsia="Arial" w:hAnsi="Arial"/>
          <w:sz w:val="24"/>
          <w:szCs w:val="24"/>
        </w:rPr>
        <w:t xml:space="preserve">- перечень предоставленных заемщиком документов;</w:t>
      </w:r>
    </w:p>
    <w:p>
      <w:pPr>
        <w:spacing w:after="60"/>
        <w:ind w:firstLine="567"/>
        <w:jc w:val="both"/>
      </w:pPr>
      <w:r>
        <w:rPr>
          <w:rFonts w:ascii="Arial" w:cs="Arial" w:eastAsia="Arial" w:hAnsi="Arial"/>
          <w:sz w:val="24"/>
          <w:szCs w:val="24"/>
        </w:rPr>
        <w:t xml:space="preserve">- место хранения оригиналов договоров и правоустанавливающих документов на владение имуществом.</w:t>
      </w:r>
    </w:p>
    <w:p>
      <w:pPr>
        <w:spacing w:after="200" w:before="200"/>
        <w:jc w:val="center"/>
      </w:pPr>
      <w:r>
        <w:rPr>
          <w:rFonts w:ascii="Arial" w:cs="Arial" w:eastAsia="Arial" w:hAnsi="Arial"/>
          <w:b/>
          <w:bCs/>
          <w:sz w:val="24"/>
          <w:szCs w:val="24"/>
        </w:rPr>
        <w:t xml:space="preserve">7. Заключительные положения</w:t>
      </w:r>
    </w:p>
    <w:p>
      <w:pPr>
        <w:spacing w:after="60"/>
        <w:ind w:firstLine="567"/>
        <w:jc w:val="both"/>
      </w:pPr>
      <w:r>
        <w:rPr>
          <w:rFonts w:ascii="Arial" w:cs="Arial" w:eastAsia="Arial" w:hAnsi="Arial"/>
          <w:sz w:val="24"/>
          <w:szCs w:val="24"/>
        </w:rPr>
        <w:t xml:space="preserve">35. Банк/ФКО имеет право разрабатывать дополнительные требования по работе с залоговым имуществом в соответствии с настоящим порядком и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kct8-5dagho-bwyh4k-g">
      <w:r>
        <w:rPr>
          <w:rFonts w:ascii="Arial" w:cs="Arial" w:eastAsia="Arial" w:hAnsi="Arial"/>
          <w:color w:val="132D3F"/>
          <w:sz w:val="16"/>
          <w:szCs w:val="16"/>
          <w:u w:val="single"/>
        </w:rPr>
        <w:t xml:space="preserve">dalil.kg/document/302508</w:t>
      </w:r>
    </w:hyperlink>
  </w:p>
  <w:p>
    <w:pPr>
      <w:spacing w:after="0" w:before="40"/>
      <w:jc w:val="center"/>
    </w:pPr>
    <w:hyperlink w:history="1" r:id="rIdwgaqweaxg0g6ajwbies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y3yl-tcmk1okixaruj" Type="http://schemas.openxmlformats.org/officeDocument/2006/relationships/hyperlink" Target="https://dalil.kg/document/302507" TargetMode="External"/><Relationship Id="rIdaku2h84dcldvbhgo4qpgt" Type="http://schemas.openxmlformats.org/officeDocument/2006/relationships/hyperlink" Target="https://dalil.kg/document/302553" TargetMode="External"/><Relationship Id="rIdnuiubpm7febtpyvvi2dfg" Type="http://schemas.openxmlformats.org/officeDocument/2006/relationships/hyperlink" Target="https://dalil.kg/document/800246" TargetMode="External"/><Relationship Id="rId2tqzz4fsnthayqimxacp2" Type="http://schemas.openxmlformats.org/officeDocument/2006/relationships/hyperlink" Target="https://dalil.kg/document/800782" TargetMode="External"/><Relationship Id="rIdwk0phbqaeqccnu5nmilfu" Type="http://schemas.openxmlformats.org/officeDocument/2006/relationships/hyperlink" Target="https://dalil.kg/document/302553" TargetMode="External"/><Relationship Id="rIdxfpo2l0rccoxnvlfqv6hi" Type="http://schemas.openxmlformats.org/officeDocument/2006/relationships/hyperlink" Target="https://dalil.kg/document/1644" TargetMode="External"/><Relationship Id="rIdwvqtp1ez59qahctilgif8" Type="http://schemas.openxmlformats.org/officeDocument/2006/relationships/hyperlink" Target="https://dalil.kg/document/57128" TargetMode="External"/><Relationship Id="rIdrwiifuhjs9uwmnzvo_uuy" Type="http://schemas.openxmlformats.org/officeDocument/2006/relationships/hyperlink" Target="https://dalil.kg/document/57279" TargetMode="External"/><Relationship Id="rId4tqpc7djw6zt0jwb6t8yx" Type="http://schemas.openxmlformats.org/officeDocument/2006/relationships/hyperlink" Target="https://dalil.kg/document/800782" TargetMode="External"/><Relationship Id="rIdb6-o07dtt0t21xcnoxavf" Type="http://schemas.openxmlformats.org/officeDocument/2006/relationships/hyperlink" Target="https://dalil.kg/document/800246" TargetMode="External"/><Relationship Id="rIde-jpbnplbjyd6hjkfjdyt" Type="http://schemas.openxmlformats.org/officeDocument/2006/relationships/hyperlink" Target="https://dalil.kg/document/57279" TargetMode="External"/><Relationship Id="rId-wv9pzlh7yneufrbeabhg" Type="http://schemas.openxmlformats.org/officeDocument/2006/relationships/hyperlink" Target="https://dalil.kg/document/57128" TargetMode="External"/><Relationship Id="rIdqho-3pz1ibomragxnblz3" Type="http://schemas.openxmlformats.org/officeDocument/2006/relationships/hyperlink" Target="https://dalil.kg/document/57309" TargetMode="External"/><Relationship Id="rIdjpjyeukq0xvtb1vsreova" Type="http://schemas.openxmlformats.org/officeDocument/2006/relationships/hyperlink" Target="https://dalil.kg/document/99528" TargetMode="External"/><Relationship Id="rId2ek4jf-ffuxtvnz7jam57" Type="http://schemas.openxmlformats.org/officeDocument/2006/relationships/hyperlink" Target="https://dalil.kg/document/57311" TargetMode="External"/><Relationship Id="rId6i3sxtn-ngmvrvu_o9ztb" Type="http://schemas.openxmlformats.org/officeDocument/2006/relationships/hyperlink" Target="https://dalil.kg/document/57312" TargetMode="External"/><Relationship Id="rId6cq7wlmnecsze3w6_3jxp" Type="http://schemas.openxmlformats.org/officeDocument/2006/relationships/hyperlink" Target="https://dalil.kg/document/800246" TargetMode="External"/><Relationship Id="rIdcdx_pnyeclxlqftox3a8d" Type="http://schemas.openxmlformats.org/officeDocument/2006/relationships/hyperlink" Target="https://dalil.kg/document/800246" TargetMode="External"/><Relationship Id="rIdhe32_u5lqmnz97jwhwfyl" Type="http://schemas.openxmlformats.org/officeDocument/2006/relationships/hyperlink" Target="https://dalil.kg/document/800246"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kct8-5dagho-bwyh4k-g" Type="http://schemas.openxmlformats.org/officeDocument/2006/relationships/hyperlink" Target="https://dalil.kg/document/302508" TargetMode="External"/><Relationship Id="rIdwgaqweaxg0g6ajwbies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2026-09-24T03:05:56.162Z</dcterms:created>
  <dcterms:modified xsi:type="dcterms:W3CDTF">2026-09-24T03:05:56.162Z</dcterms:modified>
</cp:coreProperties>
</file>

<file path=docProps/custom.xml><?xml version="1.0" encoding="utf-8"?>
<Properties xmlns="http://schemas.openxmlformats.org/officeDocument/2006/custom-properties" xmlns:vt="http://schemas.openxmlformats.org/officeDocument/2006/docPropsVTypes"/>
</file>