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Утверждена</w:t>
      </w:r>
    </w:p>
    <w:p>
      <w:pPr>
        <w:spacing w:after="480"/>
        <w:jc w:val="center"/>
      </w:pPr>
      <w:r>
        <w:rPr>
          <w:rFonts w:ascii="Arial" w:cs="Arial" w:eastAsia="Arial" w:hAnsi="Arial"/>
          <w:b/>
          <w:bCs/>
          <w:i/>
          <w:iCs/>
          <w:sz w:val="24"/>
          <w:szCs w:val="24"/>
        </w:rPr>
        <w:t xml:space="preserve">(В редакции постановлений Правления Национального банка КР от </w:t>
      </w:r>
      <w:hyperlink w:history="1" r:id="rIdlqe1pj5edr3ukzbukcdtn">
        <w:r>
          <w:rPr>
            <w:rFonts w:ascii="Arial" w:cs="Arial" w:eastAsia="Arial" w:hAnsi="Arial"/>
            <w:i/>
            <w:iCs/>
            <w:color w:val="1D4ED8"/>
            <w:sz w:val="24"/>
            <w:szCs w:val="24"/>
            <w:u w:val="single"/>
          </w:rPr>
          <w:t xml:space="preserve">15 декабря 2021 года № 2021-П-12/70-2-(НПА))</w:t>
        </w:r>
      </w:hyperlink>
    </w:p>
    <w:p>
      <w:pPr>
        <w:spacing w:after="480" w:before="200"/>
        <w:jc w:val="center"/>
      </w:pPr>
      <w:r>
        <w:rPr>
          <w:rFonts w:ascii="Arial" w:cs="Arial" w:eastAsia="Arial" w:hAnsi="Arial"/>
          <w:b/>
          <w:bCs/>
          <w:sz w:val="28"/>
          <w:szCs w:val="28"/>
        </w:rPr>
        <w:t xml:space="preserve">ИНСТРУКЦИЯ
  о пределах финансирования, осуществляемого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Порядок расчета норматива максимального размера</w:t>
      </w:r>
    </w:p>
    <w:p>
      <w:pPr>
        <w:spacing w:after="120"/>
        <w:ind w:firstLine="397"/>
        <w:jc w:val="both"/>
      </w:pPr>
      <w:r>
        <w:rPr>
          <w:rFonts w:ascii="Arial" w:cs="Arial" w:eastAsia="Arial" w:hAnsi="Arial"/>
          <w:sz w:val="24"/>
          <w:szCs w:val="24"/>
        </w:rPr>
        <w:t xml:space="preserve">риска на одного клиента/поставщика</w:t>
      </w:r>
    </w:p>
    <w:p>
      <w:pPr>
        <w:spacing w:after="120"/>
        <w:ind w:firstLine="397"/>
        <w:jc w:val="both"/>
      </w:pPr>
      <w:r>
        <w:rPr>
          <w:rFonts w:ascii="Arial" w:cs="Arial" w:eastAsia="Arial" w:hAnsi="Arial"/>
          <w:sz w:val="24"/>
          <w:szCs w:val="24"/>
        </w:rPr>
        <w:t xml:space="preserve">3. Исключения из расчета норматива максимального</w:t>
      </w:r>
    </w:p>
    <w:p>
      <w:pPr>
        <w:spacing w:after="120"/>
        <w:ind w:firstLine="397"/>
        <w:jc w:val="both"/>
      </w:pPr>
      <w:r>
        <w:rPr>
          <w:rFonts w:ascii="Arial" w:cs="Arial" w:eastAsia="Arial" w:hAnsi="Arial"/>
          <w:sz w:val="24"/>
          <w:szCs w:val="24"/>
        </w:rPr>
        <w:t xml:space="preserve">размера риска на одного клиента/поставщика</w:t>
      </w:r>
    </w:p>
    <w:p>
      <w:pPr>
        <w:spacing w:after="120"/>
        <w:ind w:firstLine="397"/>
        <w:jc w:val="both"/>
      </w:pPr>
      <w:r>
        <w:rPr>
          <w:rFonts w:ascii="Arial" w:cs="Arial" w:eastAsia="Arial" w:hAnsi="Arial"/>
          <w:sz w:val="24"/>
          <w:szCs w:val="24"/>
        </w:rPr>
        <w:t xml:space="preserve">4. Требования к залогу, обеспечивающему исключение из</w:t>
      </w:r>
    </w:p>
    <w:p>
      <w:pPr>
        <w:spacing w:after="120"/>
        <w:ind w:firstLine="397"/>
        <w:jc w:val="both"/>
      </w:pPr>
      <w:r>
        <w:rPr>
          <w:rFonts w:ascii="Arial" w:cs="Arial" w:eastAsia="Arial" w:hAnsi="Arial"/>
          <w:sz w:val="24"/>
          <w:szCs w:val="24"/>
        </w:rPr>
        <w:t xml:space="preserve">расчета норматива максимального размера риска на</w:t>
      </w:r>
    </w:p>
    <w:p>
      <w:pPr>
        <w:spacing w:after="120"/>
        <w:ind w:firstLine="397"/>
        <w:jc w:val="both"/>
      </w:pPr>
      <w:r>
        <w:rPr>
          <w:rFonts w:ascii="Arial" w:cs="Arial" w:eastAsia="Arial" w:hAnsi="Arial"/>
          <w:sz w:val="24"/>
          <w:szCs w:val="24"/>
        </w:rPr>
        <w:t xml:space="preserve">одного клиента/поставщика</w:t>
      </w:r>
    </w:p>
    <w:p>
      <w:pPr>
        <w:spacing w:after="120"/>
        <w:ind w:firstLine="397"/>
        <w:jc w:val="both"/>
      </w:pPr>
      <w:r>
        <w:rPr>
          <w:rFonts w:ascii="Arial" w:cs="Arial" w:eastAsia="Arial" w:hAnsi="Arial"/>
          <w:sz w:val="24"/>
          <w:szCs w:val="24"/>
        </w:rPr>
        <w:t xml:space="preserve">5. Требования по ограничению риска концентрации</w:t>
      </w:r>
    </w:p>
    <w:p>
      <w:pPr>
        <w:spacing w:after="120"/>
        <w:ind w:firstLine="397"/>
        <w:jc w:val="both"/>
      </w:pPr>
      <w:r>
        <w:rPr>
          <w:rFonts w:ascii="Arial" w:cs="Arial" w:eastAsia="Arial" w:hAnsi="Arial"/>
          <w:sz w:val="24"/>
          <w:szCs w:val="24"/>
        </w:rPr>
        <w:t xml:space="preserve">6. Порядок расчета норматива максимального размера</w:t>
      </w:r>
    </w:p>
    <w:p>
      <w:pPr>
        <w:spacing w:after="120"/>
        <w:ind w:firstLine="397"/>
        <w:jc w:val="both"/>
      </w:pPr>
      <w:r>
        <w:rPr>
          <w:rFonts w:ascii="Arial" w:cs="Arial" w:eastAsia="Arial" w:hAnsi="Arial"/>
          <w:sz w:val="24"/>
          <w:szCs w:val="24"/>
        </w:rPr>
        <w:t xml:space="preserve">риска на одного клиента/поставщика для банка,</w:t>
      </w:r>
    </w:p>
    <w:p>
      <w:pPr>
        <w:spacing w:after="120"/>
        <w:ind w:firstLine="397"/>
        <w:jc w:val="both"/>
      </w:pPr>
      <w:r>
        <w:rPr>
          <w:rFonts w:ascii="Arial" w:cs="Arial" w:eastAsia="Arial" w:hAnsi="Arial"/>
          <w:sz w:val="24"/>
          <w:szCs w:val="24"/>
        </w:rPr>
        <w:t xml:space="preserve">имеющего "исламское окно" и расчет крупного риска</w:t>
      </w:r>
    </w:p>
    <w:p>
      <w:pPr>
        <w:spacing w:after="120"/>
        <w:ind w:firstLine="397"/>
        <w:jc w:val="both"/>
      </w:pPr>
      <w:r>
        <w:rPr>
          <w:rFonts w:ascii="Arial" w:cs="Arial" w:eastAsia="Arial" w:hAnsi="Arial"/>
          <w:sz w:val="24"/>
          <w:szCs w:val="24"/>
        </w:rPr>
        <w:t xml:space="preserve">банка, имеющего "исламское окно"</w:t>
      </w:r>
    </w:p>
    <w:p>
      <w:pPr>
        <w:spacing w:after="120"/>
        <w:ind w:firstLine="397"/>
        <w:jc w:val="both"/>
      </w:pPr>
      <w:r>
        <w:rPr>
          <w:rFonts w:ascii="Arial" w:cs="Arial" w:eastAsia="Arial" w:hAnsi="Arial"/>
          <w:sz w:val="24"/>
          <w:szCs w:val="24"/>
        </w:rPr>
        <w:t xml:space="preserve">7. Связанные лица</w:t>
      </w:r>
    </w:p>
    <w:p>
      <w:pPr>
        <w:spacing w:after="120"/>
        <w:ind w:firstLine="397"/>
        <w:jc w:val="both"/>
      </w:pPr>
      <w:r>
        <w:rPr>
          <w:rFonts w:ascii="Arial" w:cs="Arial" w:eastAsia="Arial" w:hAnsi="Arial"/>
          <w:sz w:val="24"/>
          <w:szCs w:val="24"/>
        </w:rPr>
        <w:t xml:space="preserve">8. Порядок применения настоящей Инструкции в случаях</w:t>
      </w:r>
    </w:p>
    <w:p>
      <w:pPr>
        <w:spacing w:after="120"/>
        <w:ind w:firstLine="397"/>
        <w:jc w:val="both"/>
      </w:pPr>
      <w:r>
        <w:rPr>
          <w:rFonts w:ascii="Arial" w:cs="Arial" w:eastAsia="Arial" w:hAnsi="Arial"/>
          <w:sz w:val="24"/>
          <w:szCs w:val="24"/>
        </w:rPr>
        <w:t xml:space="preserve">несоответствия установленным ограничениям</w:t>
      </w:r>
    </w:p>
    <w:p>
      <w:pPr>
        <w:spacing w:after="120"/>
        <w:ind w:firstLine="397"/>
        <w:jc w:val="both"/>
      </w:pPr>
      <w:r>
        <w:rPr>
          <w:rFonts w:ascii="Arial" w:cs="Arial" w:eastAsia="Arial" w:hAnsi="Arial"/>
          <w:sz w:val="24"/>
          <w:szCs w:val="24"/>
        </w:rPr>
        <w:t xml:space="preserve">9. Отчетность</w:t>
      </w:r>
    </w:p>
    <w:p>
      <w:pPr>
        <w:spacing w:after="120"/>
        <w:ind w:firstLine="397"/>
        <w:jc w:val="both"/>
      </w:pPr>
      <w:r>
        <w:rPr>
          <w:rFonts w:ascii="Arial" w:cs="Arial" w:eastAsia="Arial" w:hAnsi="Arial"/>
          <w:sz w:val="24"/>
          <w:szCs w:val="24"/>
        </w:rPr>
        <w:t xml:space="preserve">10. Другие требования</w:t>
      </w:r>
    </w:p>
    <w:p>
      <w:pPr>
        <w:spacing w:after="120"/>
        <w:ind w:firstLine="397"/>
        <w:jc w:val="both"/>
      </w:pPr>
      <w:hyperlink w:history="1" r:id="rIds0yzi4jabwpajw93fwzqs">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Сведения о самых крупных рисках</w:t>
      </w:r>
    </w:p>
    <w:p>
      <w:pPr>
        <w:spacing w:after="120"/>
        <w:ind w:firstLine="397"/>
        <w:jc w:val="both"/>
      </w:pPr>
      <w:hyperlink w:history="1" r:id="rId9dgxedqvug9dccos-ptjp">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Информация о банках-корреспондентах</w:t>
      </w:r>
    </w:p>
    <w:p>
      <w:pPr>
        <w:spacing w:after="120"/>
        <w:ind w:firstLine="397"/>
        <w:jc w:val="both"/>
      </w:pPr>
      <w:hyperlink w:history="1" r:id="rIdenkrjxbf7p6eb8fduqd-e">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Информация о случаях несоответствия требованиям</w:t>
      </w:r>
    </w:p>
    <w:p>
      <w:pPr>
        <w:spacing w:after="120"/>
        <w:ind w:firstLine="397"/>
        <w:jc w:val="both"/>
      </w:pPr>
      <w:r>
        <w:rPr>
          <w:rFonts w:ascii="Arial" w:cs="Arial" w:eastAsia="Arial" w:hAnsi="Arial"/>
          <w:sz w:val="24"/>
          <w:szCs w:val="24"/>
        </w:rPr>
        <w:t xml:space="preserve">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Настоящая Инструкция разработана в соответствии с Законами Кыргызской Республики "</w:t>
      </w:r>
      <w:hyperlink w:history="1" r:id="rId78iqjx4mhfvpw-cgmb8lm">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 "</w:t>
      </w:r>
      <w:hyperlink w:history="1" r:id="rIdtn1wp4ped_79env3vp9ic">
        <w:r>
          <w:rPr>
            <w:rFonts w:ascii="Arial" w:cs="Arial" w:eastAsia="Arial" w:hAnsi="Arial"/>
            <w:color w:val="1D4ED8"/>
            <w:sz w:val="24"/>
            <w:szCs w:val="24"/>
            <w:u w:val="single"/>
          </w:rPr>
          <w:t xml:space="preserve">О банках и банковской деятельности в Кыргызской Республике</w:t>
        </w:r>
      </w:hyperlink>
      <w:r>
        <w:rPr>
          <w:rFonts w:ascii="Arial" w:cs="Arial" w:eastAsia="Arial" w:hAnsi="Arial"/>
          <w:sz w:val="24"/>
          <w:szCs w:val="24"/>
        </w:rPr>
        <w:t xml:space="preserve">". Инструкция распространяется на исламские банки и банки, имеющие "исламское окно".</w:t>
      </w:r>
    </w:p>
    <w:p>
      <w:pPr>
        <w:spacing w:after="120"/>
        <w:ind w:firstLine="397"/>
        <w:jc w:val="both"/>
      </w:pPr>
      <w:r>
        <w:rPr>
          <w:rFonts w:ascii="Arial" w:cs="Arial" w:eastAsia="Arial" w:hAnsi="Arial"/>
          <w:sz w:val="24"/>
          <w:szCs w:val="24"/>
        </w:rPr>
        <w:t xml:space="preserve">2. Целью настоящей Инструкции является установление пределов финансирования, осуществляемого в соответствии с исламскими принципами банковского дела и финансирования, а также требований и процедур, обязательных к исполнению исламскими банками и банками, имеющими "исламское окно".</w:t>
      </w:r>
    </w:p>
    <w:p>
      <w:pPr>
        <w:spacing w:after="120"/>
        <w:ind w:firstLine="397"/>
        <w:jc w:val="both"/>
      </w:pPr>
      <w:r>
        <w:rPr>
          <w:rFonts w:ascii="Arial" w:cs="Arial" w:eastAsia="Arial" w:hAnsi="Arial"/>
          <w:sz w:val="24"/>
          <w:szCs w:val="24"/>
        </w:rPr>
        <w:t xml:space="preserve">3. Пределы финансирования - это ограничения риска на одного клиента/поставщика и связанных с ним лиц, устанавливаемые Национальным банком Кыргызской Республики (далее - Национальный банк) через экономический норматив: "максимальный размер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Порядок расчета норматива максимального</w:t>
      </w:r>
    </w:p>
    <w:p>
      <w:pPr>
        <w:spacing w:after="120"/>
        <w:ind w:firstLine="397"/>
        <w:jc w:val="both"/>
      </w:pPr>
      <w:r>
        <w:rPr>
          <w:rFonts w:ascii="Arial" w:cs="Arial" w:eastAsia="Arial" w:hAnsi="Arial"/>
          <w:sz w:val="24"/>
          <w:szCs w:val="24"/>
        </w:rPr>
        <w:t xml:space="preserve">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Норматив максимального размера риска на одного клиента/поставщика (К1) рассчитывается по следующей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К1 = СЗ / ЧСК * 100%,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под совокупной задолженностью, или требованиями - СЗ - понимается общая задолженность одного клиента/поставщика по:</w:t>
      </w:r>
    </w:p>
    <w:p>
      <w:pPr>
        <w:spacing w:after="120"/>
        <w:ind w:firstLine="397"/>
        <w:jc w:val="both"/>
      </w:pPr>
      <w:r>
        <w:rPr>
          <w:rFonts w:ascii="Arial" w:cs="Arial" w:eastAsia="Arial" w:hAnsi="Arial"/>
          <w:sz w:val="24"/>
          <w:szCs w:val="24"/>
        </w:rPr>
        <w:t xml:space="preserve">- финансированию, предоставленному в соответствии с исламскими принципами банковского дела и финансирования (вне зависимости от срока погашения);</w:t>
      </w:r>
    </w:p>
    <w:p>
      <w:pPr>
        <w:spacing w:after="120"/>
        <w:ind w:firstLine="397"/>
        <w:jc w:val="both"/>
      </w:pPr>
      <w:r>
        <w:rPr>
          <w:rFonts w:ascii="Arial" w:cs="Arial" w:eastAsia="Arial" w:hAnsi="Arial"/>
          <w:sz w:val="24"/>
          <w:szCs w:val="24"/>
        </w:rPr>
        <w:t xml:space="preserve">- факторингу;</w:t>
      </w:r>
    </w:p>
    <w:p>
      <w:pPr>
        <w:spacing w:after="120"/>
        <w:ind w:firstLine="397"/>
        <w:jc w:val="both"/>
      </w:pPr>
      <w:r>
        <w:rPr>
          <w:rFonts w:ascii="Arial" w:cs="Arial" w:eastAsia="Arial" w:hAnsi="Arial"/>
          <w:sz w:val="24"/>
          <w:szCs w:val="24"/>
        </w:rPr>
        <w:t xml:space="preserve">- межбанковским размещениям;</w:t>
      </w:r>
    </w:p>
    <w:p>
      <w:pPr>
        <w:spacing w:after="120"/>
        <w:ind w:firstLine="397"/>
        <w:jc w:val="both"/>
      </w:pPr>
      <w:r>
        <w:rPr>
          <w:rFonts w:ascii="Arial" w:cs="Arial" w:eastAsia="Arial" w:hAnsi="Arial"/>
          <w:sz w:val="24"/>
          <w:szCs w:val="24"/>
        </w:rPr>
        <w:t xml:space="preserve">- инвестициям в форме долговых обязательств;</w:t>
      </w:r>
    </w:p>
    <w:p>
      <w:pPr>
        <w:spacing w:after="120"/>
        <w:ind w:firstLine="397"/>
        <w:jc w:val="both"/>
      </w:pPr>
      <w:r>
        <w:rPr>
          <w:rFonts w:ascii="Arial" w:cs="Arial" w:eastAsia="Arial" w:hAnsi="Arial"/>
          <w:sz w:val="24"/>
          <w:szCs w:val="24"/>
        </w:rPr>
        <w:t xml:space="preserve">- наценке и другим формам возмещения по финансированию, предоставленному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 любому другому виду прямой или косвенной выдачи средств клиентам/поставщикам, которые по сути являются финансированием;</w:t>
      </w:r>
    </w:p>
    <w:p>
      <w:pPr>
        <w:spacing w:after="120"/>
        <w:ind w:firstLine="397"/>
        <w:jc w:val="both"/>
      </w:pPr>
      <w:r>
        <w:rPr>
          <w:rFonts w:ascii="Arial" w:cs="Arial" w:eastAsia="Arial" w:hAnsi="Arial"/>
          <w:sz w:val="24"/>
          <w:szCs w:val="24"/>
        </w:rPr>
        <w:t xml:space="preserve">- сумме забалансовых обязательств (гарантий, аккредитивов, обязательств на предоставление финансирования), выданных данному клиенту/поставщику;</w:t>
      </w:r>
    </w:p>
    <w:p>
      <w:pPr>
        <w:spacing w:after="120"/>
        <w:ind w:firstLine="397"/>
        <w:jc w:val="both"/>
      </w:pPr>
      <w:r>
        <w:rPr>
          <w:rFonts w:ascii="Arial" w:cs="Arial" w:eastAsia="Arial" w:hAnsi="Arial"/>
          <w:sz w:val="24"/>
          <w:szCs w:val="24"/>
        </w:rPr>
        <w:t xml:space="preserve">- любому риску исламского банка в отношении третьей стороны, который безусловно гарантирован этим клиентом;</w:t>
      </w:r>
    </w:p>
    <w:p>
      <w:pPr>
        <w:spacing w:after="120"/>
        <w:ind w:firstLine="397"/>
        <w:jc w:val="both"/>
      </w:pPr>
      <w:r>
        <w:rPr>
          <w:rFonts w:ascii="Arial" w:cs="Arial" w:eastAsia="Arial" w:hAnsi="Arial"/>
          <w:sz w:val="24"/>
          <w:szCs w:val="24"/>
        </w:rPr>
        <w:t xml:space="preserve">- ранее списанному финансированию, предоставленному в соответствии с исламскими принципами банковского дела и финансирования, в том числе по наценке и другим формам возмещения. В досье каждого клиента/поставщика должны быть подшиты сведения о ранее списанном финансировании, наценке и других формах возмещения этого клиента/поставщика и связанных с ним лиц, которые должны содержать следующую информацию: имя клиента/поставщика и связанных с ним лиц, сумму списанного финансирования, наценки и других формах возмещения по предоставленному финансированию, дату списания и причину, по которой данная задолженность была списана. Если таковые отсутствуют, то в досье должно быть заключение уполномоченного лица исламского банка о том, что ранее списанных сумм по предоставленному финансированию у этого клиента/поставщика и связанных с ним лиц не имеется.</w:t>
      </w:r>
    </w:p>
    <w:p>
      <w:pPr>
        <w:spacing w:after="120"/>
        <w:ind w:firstLine="397"/>
        <w:jc w:val="both"/>
      </w:pPr>
      <w:r>
        <w:rPr>
          <w:rFonts w:ascii="Arial" w:cs="Arial" w:eastAsia="Arial" w:hAnsi="Arial"/>
          <w:sz w:val="24"/>
          <w:szCs w:val="24"/>
        </w:rPr>
        <w:t xml:space="preserve">ЧСК - чистый суммарный капитал исламского банка.</w:t>
      </w:r>
    </w:p>
    <w:p>
      <w:pPr>
        <w:spacing w:after="120"/>
        <w:ind w:firstLine="397"/>
        <w:jc w:val="both"/>
      </w:pPr>
      <w:r>
        <w:rPr>
          <w:rFonts w:ascii="Arial" w:cs="Arial" w:eastAsia="Arial" w:hAnsi="Arial"/>
          <w:sz w:val="24"/>
          <w:szCs w:val="24"/>
        </w:rPr>
        <w:t xml:space="preserve">5. Максимальный размер риска на одного клиента/поставщика, не связанного с исламским банком, не должен превышать следующие значения:</w:t>
      </w:r>
    </w:p>
    <w:p>
      <w:pPr>
        <w:spacing w:after="120"/>
        <w:ind w:firstLine="397"/>
        <w:jc w:val="both"/>
      </w:pPr>
      <w:r>
        <w:rPr>
          <w:rFonts w:ascii="Arial" w:cs="Arial" w:eastAsia="Arial" w:hAnsi="Arial"/>
          <w:sz w:val="24"/>
          <w:szCs w:val="24"/>
        </w:rPr>
        <w:t xml:space="preserve">- для клиентов/поставщиков, кроме банков (К1.1) - не более 20%;</w:t>
      </w:r>
    </w:p>
    <w:p>
      <w:pPr>
        <w:spacing w:after="120"/>
        <w:ind w:firstLine="397"/>
        <w:jc w:val="both"/>
      </w:pPr>
      <w:r>
        <w:rPr>
          <w:rFonts w:ascii="Arial" w:cs="Arial" w:eastAsia="Arial" w:hAnsi="Arial"/>
          <w:sz w:val="24"/>
          <w:szCs w:val="24"/>
        </w:rPr>
        <w:t xml:space="preserve">- для банков (К1.3) - не более 30%.</w:t>
      </w:r>
    </w:p>
    <w:p>
      <w:pPr>
        <w:spacing w:after="120"/>
        <w:ind w:firstLine="397"/>
        <w:jc w:val="both"/>
      </w:pPr>
      <w:r>
        <w:rPr>
          <w:rFonts w:ascii="Arial" w:cs="Arial" w:eastAsia="Arial" w:hAnsi="Arial"/>
          <w:sz w:val="24"/>
          <w:szCs w:val="24"/>
        </w:rPr>
        <w:t xml:space="preserve">6. Пределы и порядок финансирования связанных с исламским банком лиц определяются в соответствии с Инструкцией о требованиях к операциям с инсайдерами и аффилированными лицами, утвержденной постановлением Правления Национального банка.</w:t>
      </w:r>
    </w:p>
    <w:p>
      <w:pPr>
        <w:spacing w:after="120"/>
        <w:ind w:firstLine="397"/>
        <w:jc w:val="both"/>
      </w:pPr>
      <w:r>
        <w:rPr>
          <w:rFonts w:ascii="Arial" w:cs="Arial" w:eastAsia="Arial" w:hAnsi="Arial"/>
          <w:sz w:val="24"/>
          <w:szCs w:val="24"/>
        </w:rPr>
        <w:t xml:space="preserve">7. В целях выполнения экономических нормативов и требований, указанных в настоящей Инструкции, и дополнительного снижения рисков, исламским банкам рекомендуется установить внутренние пределы финансирования, которые должны быть ниже пределов, установленных в п.5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Исключения из расчета норматива максимального</w:t>
      </w:r>
    </w:p>
    <w:p>
      <w:pPr>
        <w:spacing w:after="120"/>
        <w:ind w:firstLine="397"/>
        <w:jc w:val="both"/>
      </w:pPr>
      <w:r>
        <w:rPr>
          <w:rFonts w:ascii="Arial" w:cs="Arial" w:eastAsia="Arial" w:hAnsi="Arial"/>
          <w:sz w:val="24"/>
          <w:szCs w:val="24"/>
        </w:rPr>
        <w:t xml:space="preserve">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Исключения, не связанные с залогом:</w:t>
      </w:r>
    </w:p>
    <w:p>
      <w:pPr>
        <w:spacing w:after="120"/>
        <w:ind w:firstLine="397"/>
        <w:jc w:val="both"/>
      </w:pPr>
      <w:r>
        <w:rPr>
          <w:rFonts w:ascii="Arial" w:cs="Arial" w:eastAsia="Arial" w:hAnsi="Arial"/>
          <w:sz w:val="24"/>
          <w:szCs w:val="24"/>
        </w:rPr>
        <w:t xml:space="preserve">1) средства на корреспондентском счете в Национальном банке;</w:t>
      </w:r>
    </w:p>
    <w:p>
      <w:pPr>
        <w:spacing w:after="120"/>
        <w:ind w:firstLine="397"/>
        <w:jc w:val="both"/>
      </w:pPr>
      <w:r>
        <w:rPr>
          <w:rFonts w:ascii="Arial" w:cs="Arial" w:eastAsia="Arial" w:hAnsi="Arial"/>
          <w:sz w:val="24"/>
          <w:szCs w:val="24"/>
        </w:rPr>
        <w:t xml:space="preserve">2) средства, размещенные в коммерческих банках, чей рейтинг равен или выше рейтинга долгосрочной кредитоспособности Ваа, присвоенного рейтинговым агентством Moody's I№vestors Service (США) (или эквивалентному рейтингу, присвоенному следующими рейтинговыми агентствами: Sta№dard &amp; Poors (США), Duff &amp; Phelps (США), Fitch IBCA (Великобритания), Thomso№ Ba№k Watch-BREE (Великобритания), №ippo№ I№vestme№t Service (Япония)), а также суммы финансирования, гарантированные такими банками. Для того, чтобы подпадать под это исключение, исламский банк должен иметь соответствующую документацию, подтверждающую присвоенный рейтинг, в частности: название рейтингового агентства, даты первоначального присвоения рейтинга и последнего подтверждения присвоенного рейтинга, приемлемый источник информации о рейтинге, а также последний годовой отчет банка-корреспондента;</w:t>
      </w:r>
    </w:p>
    <w:p>
      <w:pPr>
        <w:spacing w:after="120"/>
        <w:ind w:firstLine="397"/>
        <w:jc w:val="both"/>
      </w:pPr>
      <w:r>
        <w:rPr>
          <w:rFonts w:ascii="Arial" w:cs="Arial" w:eastAsia="Arial" w:hAnsi="Arial"/>
          <w:sz w:val="24"/>
          <w:szCs w:val="24"/>
        </w:rPr>
        <w:t xml:space="preserve">3) инвестиции исламского банка путем приобретения ценных бумаг Правительства Кыргызской Республики, Национального банка, соответствующих исламским принципам банковского дела и финансирования, или ценных бумаг, соответствующих исламским принципам банковского дела и финансирования, по которым имеются безусловные гарантии Правительства Кыргызской Республики или Национального банка.</w:t>
      </w:r>
    </w:p>
    <w:p>
      <w:pPr>
        <w:spacing w:after="120"/>
        <w:ind w:firstLine="397"/>
        <w:jc w:val="both"/>
      </w:pPr>
      <w:r>
        <w:rPr>
          <w:rFonts w:ascii="Arial" w:cs="Arial" w:eastAsia="Arial" w:hAnsi="Arial"/>
          <w:sz w:val="24"/>
          <w:szCs w:val="24"/>
        </w:rPr>
        <w:t xml:space="preserve">9. Исключения, связанные с залогом:</w:t>
      </w:r>
    </w:p>
    <w:p>
      <w:pPr>
        <w:spacing w:after="120"/>
        <w:ind w:firstLine="397"/>
        <w:jc w:val="both"/>
      </w:pPr>
      <w:r>
        <w:rPr>
          <w:rFonts w:ascii="Arial" w:cs="Arial" w:eastAsia="Arial" w:hAnsi="Arial"/>
          <w:sz w:val="24"/>
          <w:szCs w:val="24"/>
        </w:rPr>
        <w:t xml:space="preserve">1) при расчете норматива максимального размера риска на одного клиента/поставщика исключаются только те требования, которые обеспечены:</w:t>
      </w:r>
    </w:p>
    <w:p>
      <w:pPr>
        <w:spacing w:after="120"/>
        <w:ind w:firstLine="397"/>
        <w:jc w:val="both"/>
      </w:pPr>
      <w:r>
        <w:rPr>
          <w:rFonts w:ascii="Arial" w:cs="Arial" w:eastAsia="Arial" w:hAnsi="Arial"/>
          <w:sz w:val="24"/>
          <w:szCs w:val="24"/>
        </w:rPr>
        <w:t xml:space="preserve">- ценными бумагами Правительства Кыргызской Республики и Национального банка, соответствующими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 средствами, находящимися на отдельном банковском счете в этом исламском банке;</w:t>
      </w:r>
    </w:p>
    <w:p>
      <w:pPr>
        <w:spacing w:after="120"/>
        <w:ind w:firstLine="397"/>
        <w:jc w:val="both"/>
      </w:pPr>
      <w:r>
        <w:rPr>
          <w:rFonts w:ascii="Arial" w:cs="Arial" w:eastAsia="Arial" w:hAnsi="Arial"/>
          <w:sz w:val="24"/>
          <w:szCs w:val="24"/>
        </w:rPr>
        <w:t xml:space="preserve">2) требования к государственным органам Кыргызской Республики, или забалансовые обязательства, принятые исламским банком, по которым имеется государственная гарантия;</w:t>
      </w:r>
    </w:p>
    <w:p>
      <w:pPr>
        <w:spacing w:after="120"/>
        <w:ind w:firstLine="397"/>
        <w:jc w:val="both"/>
      </w:pPr>
      <w:r>
        <w:rPr>
          <w:rFonts w:ascii="Arial" w:cs="Arial" w:eastAsia="Arial" w:hAnsi="Arial"/>
          <w:sz w:val="24"/>
          <w:szCs w:val="24"/>
        </w:rPr>
        <w:t xml:space="preserve">3) требования, обеспеченные ценными бумагами Правительства Кыргызской Республики и Национального банка, соответствующими исламским принципам банковского дела и финансирования, или ценными бумагами, соответствующими исламским принципам банковского дела и финансирования, по которым имеются безусловные гарантии Правительства Кыргызской Республики или Национального банка. При этом рыночная стоимость таких ценных бумаг должна превышать основную сумму предоставленного финансирования не менее чем на 20%.</w:t>
      </w:r>
    </w:p>
    <w:p>
      <w:pPr>
        <w:spacing w:after="120"/>
        <w:ind w:firstLine="397"/>
        <w:jc w:val="both"/>
      </w:pPr>
      <w:r>
        <w:rPr>
          <w:rFonts w:ascii="Arial" w:cs="Arial" w:eastAsia="Arial" w:hAnsi="Arial"/>
          <w:sz w:val="24"/>
          <w:szCs w:val="24"/>
        </w:rPr>
        <w:t xml:space="preserve">Указанные в подпункте 3) пункта 8, подпунктах 2) и 3) пункта 9 настоящей Инструкции суммы финансирования, предоставленного государственным органам Кыргызской Республики, и гарантии, выданные Правительством Кыргызской Республики, должны быть оформлены соответствующим образом, включая подтверждение отражения их в республиканском бюджете Кыргызской Республики в соответствии с законодательством Кыргызской Республики. При этом гарантии, выданные Правительством Кыргызской Республики, не должны превышать 60% размера чистого суммарного капитала исламского банка;</w:t>
      </w:r>
    </w:p>
    <w:p>
      <w:pPr>
        <w:spacing w:after="120"/>
        <w:ind w:firstLine="397"/>
        <w:jc w:val="both"/>
      </w:pPr>
      <w:r>
        <w:rPr>
          <w:rFonts w:ascii="Arial" w:cs="Arial" w:eastAsia="Arial" w:hAnsi="Arial"/>
          <w:sz w:val="24"/>
          <w:szCs w:val="24"/>
        </w:rPr>
        <w:t xml:space="preserve">4) требования, обеспеченные средствами, находящимися на отдельном банковском счете в самом исламском банке. Под отдельным банковским счетом понимают обособленный счет физического или юридического лица. Расчетный счет клиентов и корреспондентский счет банка не могут использоваться в качестве обеспечения.</w:t>
      </w:r>
    </w:p>
    <w:p>
      <w:pPr>
        <w:spacing w:after="120"/>
        <w:ind w:firstLine="397"/>
        <w:jc w:val="both"/>
      </w:pPr>
      <w:r>
        <w:rPr>
          <w:rFonts w:ascii="Arial" w:cs="Arial" w:eastAsia="Arial" w:hAnsi="Arial"/>
          <w:sz w:val="24"/>
          <w:szCs w:val="24"/>
        </w:rPr>
        <w:t xml:space="preserve">При этом должны выполняться следующие условия:</w:t>
      </w:r>
    </w:p>
    <w:p>
      <w:pPr>
        <w:spacing w:after="120"/>
        <w:ind w:firstLine="397"/>
        <w:jc w:val="both"/>
      </w:pPr>
      <w:r>
        <w:rPr>
          <w:rFonts w:ascii="Arial" w:cs="Arial" w:eastAsia="Arial" w:hAnsi="Arial"/>
          <w:sz w:val="24"/>
          <w:szCs w:val="24"/>
        </w:rPr>
        <w:t xml:space="preserve">- документы, удостоверяющие сумму внесенных денежных средств, должны находиться на хранении в исламском банке;</w:t>
      </w:r>
    </w:p>
    <w:p>
      <w:pPr>
        <w:spacing w:after="120"/>
        <w:ind w:firstLine="397"/>
        <w:jc w:val="both"/>
      </w:pPr>
      <w:r>
        <w:rPr>
          <w:rFonts w:ascii="Arial" w:cs="Arial" w:eastAsia="Arial" w:hAnsi="Arial"/>
          <w:sz w:val="24"/>
          <w:szCs w:val="24"/>
        </w:rPr>
        <w:t xml:space="preserve">- в договоре финансирования и договоре о залоге должно быть предусмотрено, что исламский банк вправе в безакцептном порядке обратить взыскание на денежные средства, находящиеся на отдельном банковском счете клиента/поставщика, в случае неисполнения последним своих обязательств;</w:t>
      </w:r>
    </w:p>
    <w:p>
      <w:pPr>
        <w:spacing w:after="120"/>
        <w:ind w:firstLine="397"/>
        <w:jc w:val="both"/>
      </w:pPr>
      <w:r>
        <w:rPr>
          <w:rFonts w:ascii="Arial" w:cs="Arial" w:eastAsia="Arial" w:hAnsi="Arial"/>
          <w:sz w:val="24"/>
          <w:szCs w:val="24"/>
        </w:rPr>
        <w:t xml:space="preserve">- в любом случае в исламском банке должны быть разработаны соответствующие процедуры и осуществляться внутренний контроль, обеспечивающие сохранность денежных средств на банковском счете до окончания срока, предусмотренного договором;</w:t>
      </w:r>
    </w:p>
    <w:p>
      <w:pPr>
        <w:spacing w:after="120"/>
        <w:ind w:firstLine="397"/>
        <w:jc w:val="both"/>
      </w:pPr>
      <w:r>
        <w:rPr>
          <w:rFonts w:ascii="Arial" w:cs="Arial" w:eastAsia="Arial" w:hAnsi="Arial"/>
          <w:sz w:val="24"/>
          <w:szCs w:val="24"/>
        </w:rPr>
        <w:t xml:space="preserve">- средства на банковском счете, обеспечивающие требования,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При этом если банковский счет в той же валюте, что и требование, то он должен покрывать сумму требования не менее, чем на 100%, а банковский счет в валюте, отличной от валюты требования, - не менее, чем на 120% в сомовом эквиваленте;</w:t>
      </w:r>
    </w:p>
    <w:p>
      <w:pPr>
        <w:spacing w:after="120"/>
        <w:ind w:firstLine="397"/>
        <w:jc w:val="both"/>
      </w:pPr>
      <w:r>
        <w:rPr>
          <w:rFonts w:ascii="Arial" w:cs="Arial" w:eastAsia="Arial" w:hAnsi="Arial"/>
          <w:sz w:val="24"/>
          <w:szCs w:val="24"/>
        </w:rPr>
        <w:t xml:space="preserve">- обязательное проведение еженедельной переоценки банковского счета, в случае, если в качестве обеспечения предоставлены денежные средства в валюте, отличной от валюты предоставленного финансирования;</w:t>
      </w:r>
    </w:p>
    <w:p>
      <w:pPr>
        <w:spacing w:after="120"/>
        <w:ind w:firstLine="397"/>
        <w:jc w:val="both"/>
      </w:pPr>
      <w:r>
        <w:rPr>
          <w:rFonts w:ascii="Arial" w:cs="Arial" w:eastAsia="Arial" w:hAnsi="Arial"/>
          <w:sz w:val="24"/>
          <w:szCs w:val="24"/>
        </w:rPr>
        <w:t xml:space="preserve">5) требования к Правительствам или Центральным банкам стран - членов Организации Экономического Сотрудничества и Развития (ОЭСР), или требования, гарантированные ими, или международными финансовыми институтами (ЕБРР, АБР и др.);</w:t>
      </w:r>
    </w:p>
    <w:p>
      <w:pPr>
        <w:spacing w:after="120"/>
        <w:ind w:firstLine="397"/>
        <w:jc w:val="both"/>
      </w:pPr>
      <w:r>
        <w:rPr>
          <w:rFonts w:ascii="Arial" w:cs="Arial" w:eastAsia="Arial" w:hAnsi="Arial"/>
          <w:sz w:val="24"/>
          <w:szCs w:val="24"/>
        </w:rPr>
        <w:t xml:space="preserve">6) забалансовые обязательства, принятые исламским банком, по которым бенефициаром являются Центральные банки или Правительства стран членов ОЭСР;</w:t>
      </w:r>
    </w:p>
    <w:p>
      <w:pPr>
        <w:spacing w:after="120"/>
        <w:ind w:firstLine="397"/>
        <w:jc w:val="both"/>
      </w:pPr>
      <w:r>
        <w:rPr>
          <w:rFonts w:ascii="Arial" w:cs="Arial" w:eastAsia="Arial" w:hAnsi="Arial"/>
          <w:sz w:val="24"/>
          <w:szCs w:val="24"/>
        </w:rPr>
        <w:t xml:space="preserve">7) сумма доли участия в предоставленном финансировании, проданная исламским банком другому банку без права обратного выкупа. Это означает, что приобретающий банк полностью принимает на себя риск невозврата предоставленного финансирования на тех же условиях, на которых приобретающий банк обычно предоставляет финансирование. Соглашение об участии в финансировании должно предусматривать, что в случае невыполнения обязательств, риск потери каждого банка зависит от процентного соотношения их участия в финансировании. При приобретении доли финансирования должны соблюдаться нормативы Национального банка по ограничению максимального 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Требования к залогу, обеспечивающему исключение</w:t>
      </w:r>
    </w:p>
    <w:p>
      <w:pPr>
        <w:spacing w:after="120"/>
        <w:ind w:firstLine="397"/>
        <w:jc w:val="both"/>
      </w:pPr>
      <w:r>
        <w:rPr>
          <w:rFonts w:ascii="Arial" w:cs="Arial" w:eastAsia="Arial" w:hAnsi="Arial"/>
          <w:sz w:val="24"/>
          <w:szCs w:val="24"/>
        </w:rPr>
        <w:t xml:space="preserve">из расчета норматива максимального размера риска</w:t>
      </w:r>
    </w:p>
    <w:p>
      <w:pPr>
        <w:spacing w:after="120"/>
        <w:ind w:firstLine="397"/>
        <w:jc w:val="both"/>
      </w:pPr>
      <w:r>
        <w:rPr>
          <w:rFonts w:ascii="Arial" w:cs="Arial" w:eastAsia="Arial" w:hAnsi="Arial"/>
          <w:sz w:val="24"/>
          <w:szCs w:val="24"/>
        </w:rPr>
        <w:t xml:space="preserve">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Если предметом залога выступают ценные бумаги и/или денежные средства, то залог осуществляется в форме заклада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11. Если предметом залога выступают бездокументарные ценные бумаги, то исламский банк должен иметь документацию, подтверждающую регистрацию данного залога в соответствии с законодательством Кыргызской Республики. При этом, исламский банк должен предусмотреть, чтобы требования исламского банка по взысканию предмета залога являлись первоочередными.</w:t>
      </w:r>
    </w:p>
    <w:p>
      <w:pPr>
        <w:spacing w:after="120"/>
        <w:ind w:firstLine="397"/>
        <w:jc w:val="both"/>
      </w:pPr>
      <w:r>
        <w:rPr>
          <w:rFonts w:ascii="Arial" w:cs="Arial" w:eastAsia="Arial" w:hAnsi="Arial"/>
          <w:sz w:val="24"/>
          <w:szCs w:val="24"/>
        </w:rPr>
        <w:t xml:space="preserve">12. Залог оформляется в соответствии с </w:t>
      </w:r>
      <w:hyperlink w:history="1" r:id="rIdulao5_rxwva1osz89kvzu">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Законом Кыргызской Республики "</w:t>
      </w:r>
      <w:hyperlink w:history="1" r:id="rIddyorwp01lyp_saxzoq5r-">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13. В договоре о залоге должно быть предусмотрено недопущение дальнейшего перезалога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В случае уменьшения рыночной стоимости предмета залога, исламский банк обязан немедленно потребовать увеличения его стоимости в соответствии с требованиями настоящей Инструкции и обеспечить исполнение этого требования в течение 10 рабочих дней.</w:t>
      </w:r>
    </w:p>
    <w:p>
      <w:pPr>
        <w:spacing w:after="120"/>
        <w:ind w:firstLine="397"/>
        <w:jc w:val="both"/>
      </w:pPr>
      <w:r>
        <w:rPr>
          <w:rFonts w:ascii="Arial" w:cs="Arial" w:eastAsia="Arial" w:hAnsi="Arial"/>
          <w:sz w:val="24"/>
          <w:szCs w:val="24"/>
        </w:rPr>
        <w:t xml:space="preserve">15. Исламский банк обязан разработать соответствующие процедуры и осуществлять внутренний контроль для поддержания залога в соответствии с требованиями разделов 3 и 4 настоящей Инструкции.</w:t>
      </w:r>
    </w:p>
    <w:p>
      <w:pPr>
        <w:spacing w:after="120"/>
        <w:ind w:firstLine="397"/>
        <w:jc w:val="both"/>
      </w:pPr>
      <w:r>
        <w:rPr>
          <w:rFonts w:ascii="Arial" w:cs="Arial" w:eastAsia="Arial" w:hAnsi="Arial"/>
          <w:sz w:val="24"/>
          <w:szCs w:val="24"/>
        </w:rPr>
        <w:t xml:space="preserve">16. Если требования законодательства Кыргызской Республики и настоящей Инструкции, касающиеся залога (включающие процедуру регистрации залога, наличие соответствующей документации, распорядительных полномочий в отношении залога, удостоверенных надлежащим образом и др.), не выполняются, то требование, обеспеченное таким залогом, не будет подпадать под исключение из расчета норматива максимального размера риска на одного клиента/поставщика.</w:t>
      </w:r>
    </w:p>
    <w:p>
      <w:pPr>
        <w:spacing w:after="120"/>
        <w:ind w:firstLine="397"/>
        <w:jc w:val="both"/>
      </w:pPr>
      <w:r>
        <w:rPr>
          <w:rFonts w:ascii="Arial" w:cs="Arial" w:eastAsia="Arial" w:hAnsi="Arial"/>
          <w:sz w:val="24"/>
          <w:szCs w:val="24"/>
        </w:rPr>
        <w:t xml:space="preserve">17. Доля суммы предоставленного финансирования, не подпадающая под требования разделов 3 и 4, должна рассматриваться в соответствии с общими правилами настоящей Инструкции при расчете норматива максимального размера риска на одного клиента/поставщика.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Требования по ограничению риска концентрации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Совокупная задолженность на одного клиента/поставщика, превышающая 10% размера чистого суммарного капитала исламского банка, рассматривается как крупный риск.</w:t>
      </w:r>
    </w:p>
    <w:p>
      <w:pPr>
        <w:spacing w:after="120"/>
        <w:ind w:firstLine="397"/>
        <w:jc w:val="both"/>
      </w:pPr>
      <w:r>
        <w:rPr>
          <w:rFonts w:ascii="Arial" w:cs="Arial" w:eastAsia="Arial" w:hAnsi="Arial"/>
          <w:sz w:val="24"/>
          <w:szCs w:val="24"/>
        </w:rPr>
        <w:t xml:space="preserve">19. Общая сумма всех крупных рисков исламского банка не должна превышать пятикратного размера чистого суммарного капитала.</w:t>
      </w:r>
    </w:p>
    <w:p>
      <w:pPr>
        <w:spacing w:after="120"/>
        <w:ind w:firstLine="397"/>
        <w:jc w:val="both"/>
      </w:pPr>
      <w:r>
        <w:rPr>
          <w:rFonts w:ascii="Arial" w:cs="Arial" w:eastAsia="Arial" w:hAnsi="Arial"/>
          <w:sz w:val="24"/>
          <w:szCs w:val="24"/>
        </w:rPr>
        <w:t xml:space="preserve">20. Каждое требование, составляющее крупный риск, должно быть одобрено Советом директоров исламского банка. В протоколе заседания Совета директоров должно быть четко указано одобрение на его выдачу, а также результаты голосования каждого члена Совета директоров.</w:t>
      </w:r>
    </w:p>
    <w:p>
      <w:pPr>
        <w:spacing w:after="120"/>
        <w:ind w:firstLine="397"/>
        <w:jc w:val="both"/>
      </w:pPr>
      <w:r>
        <w:rPr>
          <w:rFonts w:ascii="Arial" w:cs="Arial" w:eastAsia="Arial" w:hAnsi="Arial"/>
          <w:sz w:val="24"/>
          <w:szCs w:val="24"/>
        </w:rPr>
        <w:t xml:space="preserve">21. Условие п.20 настоящей Инструкции относится к любому дополнительному требованию к существующему клиенту/поставщику, если оно подпадает или продолжает подпадать под определение крупного риска.</w:t>
      </w:r>
    </w:p>
    <w:p>
      <w:pPr>
        <w:spacing w:after="120"/>
        <w:ind w:firstLine="397"/>
        <w:jc w:val="both"/>
      </w:pPr>
      <w:r>
        <w:rPr>
          <w:rFonts w:ascii="Arial" w:cs="Arial" w:eastAsia="Arial" w:hAnsi="Arial"/>
          <w:sz w:val="24"/>
          <w:szCs w:val="24"/>
        </w:rPr>
        <w:t xml:space="preserve">22. Совокупный размер контрактов по предоставлению финансирования, необеспеченного залогом, не должен превышать 50% размера чистого суммарного капитала исламского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Порядок расчета норматива максимального размера</w:t>
      </w:r>
    </w:p>
    <w:p>
      <w:pPr>
        <w:spacing w:after="120"/>
        <w:ind w:firstLine="397"/>
        <w:jc w:val="both"/>
      </w:pPr>
      <w:r>
        <w:rPr>
          <w:rFonts w:ascii="Arial" w:cs="Arial" w:eastAsia="Arial" w:hAnsi="Arial"/>
          <w:sz w:val="24"/>
          <w:szCs w:val="24"/>
        </w:rPr>
        <w:t xml:space="preserve">риска на одного клиента/поставщика для банка,</w:t>
      </w:r>
    </w:p>
    <w:p>
      <w:pPr>
        <w:spacing w:after="120"/>
        <w:ind w:firstLine="397"/>
        <w:jc w:val="both"/>
      </w:pPr>
      <w:r>
        <w:rPr>
          <w:rFonts w:ascii="Arial" w:cs="Arial" w:eastAsia="Arial" w:hAnsi="Arial"/>
          <w:sz w:val="24"/>
          <w:szCs w:val="24"/>
        </w:rPr>
        <w:t xml:space="preserve">имеющего "исламское окно" и расчет крупного</w:t>
      </w:r>
    </w:p>
    <w:p>
      <w:pPr>
        <w:spacing w:after="120"/>
        <w:ind w:firstLine="397"/>
        <w:jc w:val="both"/>
      </w:pPr>
      <w:r>
        <w:rPr>
          <w:rFonts w:ascii="Arial" w:cs="Arial" w:eastAsia="Arial" w:hAnsi="Arial"/>
          <w:sz w:val="24"/>
          <w:szCs w:val="24"/>
        </w:rPr>
        <w:t xml:space="preserve">риска банка, имеющего "исламское окно"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Для банка, имеющего "исламское окно", норматив максимального размера риска на одного клиента/поставщика (К1) рассчитывается в соответствии с Инструкцией об ограничениях кредитования, утвержденной постановлением Правления Национального банка, и определяется как отношение совокупной задолженности по традиционному банковскому делу, и исламским принципам банковского дела и финансирования на одного клиента/поставщика, к чистому суммарному капиталу банка.</w:t>
      </w:r>
    </w:p>
    <w:p>
      <w:pPr>
        <w:spacing w:after="120"/>
        <w:ind w:firstLine="397"/>
        <w:jc w:val="both"/>
      </w:pPr>
      <w:r>
        <w:rPr>
          <w:rFonts w:ascii="Arial" w:cs="Arial" w:eastAsia="Arial" w:hAnsi="Arial"/>
          <w:sz w:val="24"/>
          <w:szCs w:val="24"/>
        </w:rPr>
        <w:t xml:space="preserve">24. При расчете крупного риска банком, имеющим "исламское окно", должна учитываться вся задолженность, размещенная как по традиционному банковскому делу, так и по исламским принципам банковского дела и финансирования.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Связанные лица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При расчете норматива максимального размера риска на одного клиента/поставщика задолженность различных клиентов/поставщиков должна суммироваться и рассматриваться как связанная единая совокупная задолженность, если финансовые трудности одного клиента/поставщика могут привести к проблемам выплаты и у других лиц.</w:t>
      </w:r>
    </w:p>
    <w:p>
      <w:pPr>
        <w:spacing w:after="120"/>
        <w:ind w:firstLine="397"/>
        <w:jc w:val="both"/>
      </w:pPr>
      <w:r>
        <w:rPr>
          <w:rFonts w:ascii="Arial" w:cs="Arial" w:eastAsia="Arial" w:hAnsi="Arial"/>
          <w:sz w:val="24"/>
          <w:szCs w:val="24"/>
        </w:rPr>
        <w:t xml:space="preserve">26. В частности, суммы контрактов различных клиентов/поставщиков, по которым предоставлено финансирование, должны суммироваться, если:</w:t>
      </w:r>
    </w:p>
    <w:p>
      <w:pPr>
        <w:spacing w:after="120"/>
        <w:ind w:firstLine="397"/>
        <w:jc w:val="both"/>
      </w:pPr>
      <w:r>
        <w:rPr>
          <w:rFonts w:ascii="Arial" w:cs="Arial" w:eastAsia="Arial" w:hAnsi="Arial"/>
          <w:sz w:val="24"/>
          <w:szCs w:val="24"/>
        </w:rPr>
        <w:t xml:space="preserve">- один клиент/поставщик контролирует другого;</w:t>
      </w:r>
    </w:p>
    <w:p>
      <w:pPr>
        <w:spacing w:after="120"/>
        <w:ind w:firstLine="397"/>
        <w:jc w:val="both"/>
      </w:pPr>
      <w:r>
        <w:rPr>
          <w:rFonts w:ascii="Arial" w:cs="Arial" w:eastAsia="Arial" w:hAnsi="Arial"/>
          <w:sz w:val="24"/>
          <w:szCs w:val="24"/>
        </w:rPr>
        <w:t xml:space="preserve">- финансирование предоставлено и полному товариществу, и участнику этого полного товарищества (полному товарищу);</w:t>
      </w:r>
    </w:p>
    <w:p>
      <w:pPr>
        <w:spacing w:after="120"/>
        <w:ind w:firstLine="397"/>
        <w:jc w:val="both"/>
      </w:pPr>
      <w:r>
        <w:rPr>
          <w:rFonts w:ascii="Arial" w:cs="Arial" w:eastAsia="Arial" w:hAnsi="Arial"/>
          <w:sz w:val="24"/>
          <w:szCs w:val="24"/>
        </w:rPr>
        <w:t xml:space="preserve">- финансирование предоставлено и коммандитному товариществу, и участнику этого коммандитного товарищества (полному товарищу);</w:t>
      </w:r>
    </w:p>
    <w:p>
      <w:pPr>
        <w:spacing w:after="120"/>
        <w:ind w:firstLine="397"/>
        <w:jc w:val="both"/>
      </w:pPr>
      <w:r>
        <w:rPr>
          <w:rFonts w:ascii="Arial" w:cs="Arial" w:eastAsia="Arial" w:hAnsi="Arial"/>
          <w:sz w:val="24"/>
          <w:szCs w:val="24"/>
        </w:rPr>
        <w:t xml:space="preserve">- риски в отношении двух или более лиц, имеющих вместе, по крайней мере, одно контролирующее лицо, партнера, или участника с неограниченной ответственностью (полного товарища) в каждом из них (независимо от того, является ли это лицо также лицом, в отношении которого исламский банк имеет отдельный риск);</w:t>
      </w:r>
    </w:p>
    <w:p>
      <w:pPr>
        <w:spacing w:after="120"/>
        <w:ind w:firstLine="397"/>
        <w:jc w:val="both"/>
      </w:pPr>
      <w:r>
        <w:rPr>
          <w:rFonts w:ascii="Arial" w:cs="Arial" w:eastAsia="Arial" w:hAnsi="Arial"/>
          <w:sz w:val="24"/>
          <w:szCs w:val="24"/>
        </w:rPr>
        <w:t xml:space="preserve">- между несколькими клиентами/поставщиками существует значительная финансовая взаимозависимость. Значительная финансовая взаимозависимость, включая соглашение о взаимном сотрудничестве, имеет место, как правило, если 50 или более процентов годового валового дохода/расхода или других поступлений или платежей одного клиента/поставщика возникло от сделок с другим клиентом/поставщиком;</w:t>
      </w:r>
    </w:p>
    <w:p>
      <w:pPr>
        <w:spacing w:after="120"/>
        <w:ind w:firstLine="397"/>
        <w:jc w:val="both"/>
      </w:pPr>
      <w:r>
        <w:rPr>
          <w:rFonts w:ascii="Arial" w:cs="Arial" w:eastAsia="Arial" w:hAnsi="Arial"/>
          <w:sz w:val="24"/>
          <w:szCs w:val="24"/>
        </w:rPr>
        <w:t xml:space="preserve">- один и тот же источник используется для погашения полученного финансирования, включая ситуацию, когда клиенты/поставщики используют полученные в результате финансирования средства для участия в общем предприятии или общей деятельности, или когда оба используют один и тот же вторичный источник выплаты;</w:t>
      </w:r>
    </w:p>
    <w:p>
      <w:pPr>
        <w:spacing w:after="120"/>
        <w:ind w:firstLine="397"/>
        <w:jc w:val="both"/>
      </w:pPr>
      <w:r>
        <w:rPr>
          <w:rFonts w:ascii="Arial" w:cs="Arial" w:eastAsia="Arial" w:hAnsi="Arial"/>
          <w:sz w:val="24"/>
          <w:szCs w:val="24"/>
        </w:rPr>
        <w:t xml:space="preserve">- один из клиентов/поставщиков гарантировал обязательства другого (кросс гарантии), или когда одно и то же третье лицо является гарантом обоих клиентов/поставщиков;</w:t>
      </w:r>
    </w:p>
    <w:p>
      <w:pPr>
        <w:spacing w:after="120"/>
        <w:ind w:firstLine="397"/>
        <w:jc w:val="both"/>
      </w:pPr>
      <w:r>
        <w:rPr>
          <w:rFonts w:ascii="Arial" w:cs="Arial" w:eastAsia="Arial" w:hAnsi="Arial"/>
          <w:sz w:val="24"/>
          <w:szCs w:val="24"/>
        </w:rPr>
        <w:t xml:space="preserve">- средства, полученные одним или несколькими клиентами/поставщиками, используются для прямой выгоды третьего лица (независимо от того, было ли у банка требование к этому третьему лицу, или нет), или когда средства или активы, купленные на эти полученные средства, передаются третьему лицу, за исключением случаев покупки у него товаров или услуг в обычном ходе бизнеса.</w:t>
      </w:r>
    </w:p>
    <w:p>
      <w:pPr>
        <w:spacing w:after="120"/>
        <w:ind w:firstLine="397"/>
        <w:jc w:val="both"/>
      </w:pPr>
      <w:r>
        <w:rPr>
          <w:rFonts w:ascii="Arial" w:cs="Arial" w:eastAsia="Arial" w:hAnsi="Arial"/>
          <w:sz w:val="24"/>
          <w:szCs w:val="24"/>
        </w:rPr>
        <w:t xml:space="preserve">Примечание: Понятие "контроль" определено Инструкцией о требованиях к операциям с инсайдерами и аффилированными лицами, утвержденной постановлением Правления Национального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Порядок применения настоящей Инструкции в случаях</w:t>
      </w:r>
    </w:p>
    <w:p>
      <w:pPr>
        <w:spacing w:after="120"/>
        <w:ind w:firstLine="397"/>
        <w:jc w:val="both"/>
      </w:pPr>
      <w:r>
        <w:rPr>
          <w:rFonts w:ascii="Arial" w:cs="Arial" w:eastAsia="Arial" w:hAnsi="Arial"/>
          <w:sz w:val="24"/>
          <w:szCs w:val="24"/>
        </w:rPr>
        <w:t xml:space="preserve">несоответствия установленным ограничениям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Система управления рисками исламского банка должна позволять выявлять риски, связанные с нарушением требований настоящей Инструкции. Исламский банк не может принимать новые риски в отношении клиентов/поставщиков, если увеличение существующего общего риска в отношении таких клиентов/поставщиков или групп взаимосвязанных лиц не будет соответствовать требованиям настоящей Инструкции.</w:t>
      </w:r>
    </w:p>
    <w:p>
      <w:pPr>
        <w:spacing w:after="120"/>
        <w:ind w:firstLine="397"/>
        <w:jc w:val="both"/>
      </w:pPr>
      <w:r>
        <w:rPr>
          <w:rFonts w:ascii="Arial" w:cs="Arial" w:eastAsia="Arial" w:hAnsi="Arial"/>
          <w:sz w:val="24"/>
          <w:szCs w:val="24"/>
        </w:rPr>
        <w:t xml:space="preserve">28. Если максимальный размер риска на одного клиента/поставщика на момент возникновения риска у исламского банка позволял выполнять ограничения, установленные настоящей Инструкцией, но в последующем превысил их (например, в силу изменений обменного курса), то исламский банк обязан немедленно проинформировать Национальный банк об этом факте. В этих случаях Национальный банк может, без применения санкций, установить определенный период времени, в течение которого данное несоответствие должно быть устранено.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Отчетность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Исламский банк обязан постоянно поддерживать базу данных и вести журнал учета по связанным лицам, в котором должна содержаться информация о всех требованиях к каждому клиенту/поставщику и связанным с ним лицам.</w:t>
      </w:r>
    </w:p>
    <w:p>
      <w:pPr>
        <w:spacing w:after="120"/>
        <w:ind w:firstLine="397"/>
        <w:jc w:val="both"/>
      </w:pPr>
      <w:r>
        <w:rPr>
          <w:rFonts w:ascii="Arial" w:cs="Arial" w:eastAsia="Arial" w:hAnsi="Arial"/>
          <w:sz w:val="24"/>
          <w:szCs w:val="24"/>
        </w:rPr>
        <w:t xml:space="preserve">30. Исламский банк должен представлять в Национальный банк сведения о всех крупных рисках по состоянию на последний день каждого месяца, включительно (приложение 1).</w:t>
      </w:r>
    </w:p>
    <w:p>
      <w:pPr>
        <w:spacing w:after="120"/>
        <w:ind w:firstLine="397"/>
        <w:jc w:val="both"/>
      </w:pPr>
      <w:r>
        <w:rPr>
          <w:rFonts w:ascii="Arial" w:cs="Arial" w:eastAsia="Arial" w:hAnsi="Arial"/>
          <w:sz w:val="24"/>
          <w:szCs w:val="24"/>
        </w:rPr>
        <w:t xml:space="preserve">31. Исламский банк должен представлять в Национальный банк информацию о всех банках-корреспондентах, имеющих рейтинг в соответствие с подпунктом 2 пункта 8 настоящей Инструкции, по состоянию на последний день каждого квартала, включительно (приложение 2).</w:t>
      </w:r>
    </w:p>
    <w:p>
      <w:pPr>
        <w:spacing w:after="120"/>
        <w:ind w:firstLine="397"/>
        <w:jc w:val="both"/>
      </w:pPr>
      <w:r>
        <w:rPr>
          <w:rFonts w:ascii="Arial" w:cs="Arial" w:eastAsia="Arial" w:hAnsi="Arial"/>
          <w:sz w:val="24"/>
          <w:szCs w:val="24"/>
        </w:rPr>
        <w:t xml:space="preserve">32. При возникновении случаев несоответствия требованиям настоящей Инструкции банк должен представить в Национальный банк информацию о них по состоянию на последний день каждого месяца, включительно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Другие требования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Если предоставление финансирования или проведение операции осуществлены в нарушение требований настоящей Инструкции, и в результате чего исламский банк понес потери, то каждый член Совета директоров и Правления исламского банка, входящий в состав коллегиального органа по предоставлению финансирования, одобривший операцию,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center"/>
      </w:pPr>
      <w:r>
        <w:rPr>
          <w:rFonts w:ascii="Arial" w:cs="Arial" w:eastAsia="Arial" w:hAnsi="Arial"/>
          <w:sz w:val="24"/>
          <w:szCs w:val="24"/>
        </w:rPr>
        <w:t xml:space="preserve">СВЕДЕНИЯ</w:t>
      </w:r>
    </w:p>
    <w:p>
      <w:pPr>
        <w:spacing w:after="120"/>
        <w:ind w:firstLine="397"/>
        <w:jc w:val="center"/>
      </w:pPr>
      <w:r>
        <w:rPr>
          <w:rFonts w:ascii="Arial" w:cs="Arial" w:eastAsia="Arial" w:hAnsi="Arial"/>
          <w:sz w:val="24"/>
          <w:szCs w:val="24"/>
        </w:rPr>
        <w:t xml:space="preserve">о самых крупных рисках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Информация о клиентах/поставщиках          │Доля │Доля │</w:t>
      </w:r>
    </w:p>
    <w:p>
      <w:pPr>
        <w:spacing w:after="120"/>
        <w:ind w:firstLine="397"/>
        <w:jc w:val="both"/>
      </w:pPr>
      <w:r>
        <w:rPr>
          <w:rFonts w:ascii="Arial" w:cs="Arial" w:eastAsia="Arial" w:hAnsi="Arial"/>
          <w:sz w:val="24"/>
          <w:szCs w:val="24"/>
        </w:rPr>
        <w:t xml:space="preserve">│  ├────┬────┬────────────────────────────────────────────┤фина-│акций│</w:t>
      </w:r>
    </w:p>
    <w:p>
      <w:pPr>
        <w:spacing w:after="120"/>
        <w:ind w:firstLine="397"/>
        <w:jc w:val="both"/>
      </w:pPr>
      <w:r>
        <w:rPr>
          <w:rFonts w:ascii="Arial" w:cs="Arial" w:eastAsia="Arial" w:hAnsi="Arial"/>
          <w:sz w:val="24"/>
          <w:szCs w:val="24"/>
        </w:rPr>
        <w:t xml:space="preserve">│  │Наи-│Гру-│    Совокупная задолженность/Общая сумма    │нсо- │бан- │</w:t>
      </w:r>
    </w:p>
    <w:p>
      <w:pPr>
        <w:spacing w:after="120"/>
        <w:ind w:firstLine="397"/>
        <w:jc w:val="both"/>
      </w:pPr>
      <w:r>
        <w:rPr>
          <w:rFonts w:ascii="Arial" w:cs="Arial" w:eastAsia="Arial" w:hAnsi="Arial"/>
          <w:sz w:val="24"/>
          <w:szCs w:val="24"/>
        </w:rPr>
        <w:t xml:space="preserve">│  │ме- │ппа │                 контрактов                 │вого │ ка, │</w:t>
      </w:r>
    </w:p>
    <w:p>
      <w:pPr>
        <w:spacing w:after="120"/>
        <w:ind w:firstLine="397"/>
        <w:jc w:val="both"/>
      </w:pPr>
      <w:r>
        <w:rPr>
          <w:rFonts w:ascii="Arial" w:cs="Arial" w:eastAsia="Arial" w:hAnsi="Arial"/>
          <w:sz w:val="24"/>
          <w:szCs w:val="24"/>
        </w:rPr>
        <w:t xml:space="preserve">│  │но- │    ├─────┬─────┬────┬─────┬─────┬────┬────┬─────┤учас-│кото-│</w:t>
      </w:r>
    </w:p>
    <w:p>
      <w:pPr>
        <w:spacing w:after="120"/>
        <w:ind w:firstLine="397"/>
        <w:jc w:val="both"/>
      </w:pPr>
      <w:r>
        <w:rPr>
          <w:rFonts w:ascii="Arial" w:cs="Arial" w:eastAsia="Arial" w:hAnsi="Arial"/>
          <w:sz w:val="24"/>
          <w:szCs w:val="24"/>
        </w:rPr>
        <w:t xml:space="preserve">│  │ва- │    │Фина-│Наце-│Про-│Наце-│Заба-│Все-│Кат-│Про- │ тия │рыми │</w:t>
      </w:r>
    </w:p>
    <w:p>
      <w:pPr>
        <w:spacing w:after="120"/>
        <w:ind w:firstLine="397"/>
        <w:jc w:val="both"/>
      </w:pPr>
      <w:r>
        <w:rPr>
          <w:rFonts w:ascii="Arial" w:cs="Arial" w:eastAsia="Arial" w:hAnsi="Arial"/>
          <w:sz w:val="24"/>
          <w:szCs w:val="24"/>
        </w:rPr>
        <w:t xml:space="preserve">│  │ние │    │нси- │нка/ │чие │нка/ │лан- │ го │его-│сро- │(ак- │вла- │</w:t>
      </w:r>
    </w:p>
    <w:p>
      <w:pPr>
        <w:spacing w:after="120"/>
        <w:ind w:firstLine="397"/>
        <w:jc w:val="both"/>
      </w:pPr>
      <w:r>
        <w:rPr>
          <w:rFonts w:ascii="Arial" w:cs="Arial" w:eastAsia="Arial" w:hAnsi="Arial"/>
          <w:sz w:val="24"/>
          <w:szCs w:val="24"/>
        </w:rPr>
        <w:t xml:space="preserve">│  │кли-│    │рова-│дру- │ак- │дру- │совые│    │рия │чен- │ций) │деет │</w:t>
      </w:r>
    </w:p>
    <w:p>
      <w:pPr>
        <w:spacing w:after="120"/>
        <w:ind w:firstLine="397"/>
        <w:jc w:val="both"/>
      </w:pPr>
      <w:r>
        <w:rPr>
          <w:rFonts w:ascii="Arial" w:cs="Arial" w:eastAsia="Arial" w:hAnsi="Arial"/>
          <w:sz w:val="24"/>
          <w:szCs w:val="24"/>
        </w:rPr>
        <w:t xml:space="preserve">│  │ен- │    │ние  │гие  │тивы│гие  │обя- │    │кла-│ная  │ком- │ком- │</w:t>
      </w:r>
    </w:p>
    <w:p>
      <w:pPr>
        <w:spacing w:after="120"/>
        <w:ind w:firstLine="397"/>
        <w:jc w:val="both"/>
      </w:pPr>
      <w:r>
        <w:rPr>
          <w:rFonts w:ascii="Arial" w:cs="Arial" w:eastAsia="Arial" w:hAnsi="Arial"/>
          <w:sz w:val="24"/>
          <w:szCs w:val="24"/>
        </w:rPr>
        <w:t xml:space="preserve">│  │та/ │    │пре- │формы│    │формы│за-  │    │сси-│задо-│ па- │пания│</w:t>
      </w:r>
    </w:p>
    <w:p>
      <w:pPr>
        <w:spacing w:after="120"/>
        <w:ind w:firstLine="397"/>
        <w:jc w:val="both"/>
      </w:pPr>
      <w:r>
        <w:rPr>
          <w:rFonts w:ascii="Arial" w:cs="Arial" w:eastAsia="Arial" w:hAnsi="Arial"/>
          <w:sz w:val="24"/>
          <w:szCs w:val="24"/>
        </w:rPr>
        <w:t xml:space="preserve">│  │пос-│    │дос- │воз- │    │воз- │тель-│    │фи- │лжен-│нии, │ или │</w:t>
      </w:r>
    </w:p>
    <w:p>
      <w:pPr>
        <w:spacing w:after="120"/>
        <w:ind w:firstLine="397"/>
        <w:jc w:val="both"/>
      </w:pPr>
      <w:r>
        <w:rPr>
          <w:rFonts w:ascii="Arial" w:cs="Arial" w:eastAsia="Arial" w:hAnsi="Arial"/>
          <w:sz w:val="24"/>
          <w:szCs w:val="24"/>
        </w:rPr>
        <w:t xml:space="preserve">│  │тав-│    │тав- │меще-│    │меще-│ства │    │ка- │ность│кото-│физи-│</w:t>
      </w:r>
    </w:p>
    <w:p>
      <w:pPr>
        <w:spacing w:after="120"/>
        <w:ind w:firstLine="397"/>
        <w:jc w:val="both"/>
      </w:pPr>
      <w:r>
        <w:rPr>
          <w:rFonts w:ascii="Arial" w:cs="Arial" w:eastAsia="Arial" w:hAnsi="Arial"/>
          <w:sz w:val="24"/>
          <w:szCs w:val="24"/>
        </w:rPr>
        <w:t xml:space="preserve">│  │щика│    │лен- │ния  │    │ния  │     │    │ции │ (в  │рыми │чес- │</w:t>
      </w:r>
    </w:p>
    <w:p>
      <w:pPr>
        <w:spacing w:after="120"/>
        <w:ind w:firstLine="397"/>
        <w:jc w:val="both"/>
      </w:pPr>
      <w:r>
        <w:rPr>
          <w:rFonts w:ascii="Arial" w:cs="Arial" w:eastAsia="Arial" w:hAnsi="Arial"/>
          <w:sz w:val="24"/>
          <w:szCs w:val="24"/>
        </w:rPr>
        <w:t xml:space="preserve">│  │    │    │ное  │     │    │     │     │    │    │днях)│вла- │ кое │</w:t>
      </w:r>
    </w:p>
    <w:p>
      <w:pPr>
        <w:spacing w:after="120"/>
        <w:ind w:firstLine="397"/>
        <w:jc w:val="both"/>
      </w:pPr>
      <w:r>
        <w:rPr>
          <w:rFonts w:ascii="Arial" w:cs="Arial" w:eastAsia="Arial" w:hAnsi="Arial"/>
          <w:sz w:val="24"/>
          <w:szCs w:val="24"/>
        </w:rPr>
        <w:t xml:space="preserve">│  │    │    │     │     │    │     │     │    │    │     │деет │лицо │</w:t>
      </w:r>
    </w:p>
    <w:p>
      <w:pPr>
        <w:spacing w:after="120"/>
        <w:ind w:firstLine="397"/>
        <w:jc w:val="both"/>
      </w:pPr>
      <w:r>
        <w:rPr>
          <w:rFonts w:ascii="Arial" w:cs="Arial" w:eastAsia="Arial" w:hAnsi="Arial"/>
          <w:sz w:val="24"/>
          <w:szCs w:val="24"/>
        </w:rPr>
        <w:t xml:space="preserve">│  │    │    │     │     │    │     │     │    │    │     │банк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2 │    │  4  │  5  │ 6  │  7  │  8  │ 9  │ 10 │  11 │ 12  │ 13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│15│    │    │     │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│Общая сумма всех     │    │     │     │    │    │     │     │     │</w:t>
      </w:r>
    </w:p>
    <w:p>
      <w:pPr>
        <w:spacing w:after="120"/>
        <w:ind w:firstLine="397"/>
        <w:jc w:val="both"/>
      </w:pPr>
      <w:r>
        <w:rPr>
          <w:rFonts w:ascii="Arial" w:cs="Arial" w:eastAsia="Arial" w:hAnsi="Arial"/>
          <w:sz w:val="24"/>
          <w:szCs w:val="24"/>
        </w:rPr>
        <w:t xml:space="preserve">│  │крупных рисков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│Самая крупная        │    │     │     │    │    │     │     │     │</w:t>
      </w:r>
    </w:p>
    <w:p>
      <w:pPr>
        <w:spacing w:after="120"/>
        <w:ind w:firstLine="397"/>
        <w:jc w:val="both"/>
      </w:pPr>
      <w:r>
        <w:rPr>
          <w:rFonts w:ascii="Arial" w:cs="Arial" w:eastAsia="Arial" w:hAnsi="Arial"/>
          <w:sz w:val="24"/>
          <w:szCs w:val="24"/>
        </w:rPr>
        <w:t xml:space="preserve">│  │задолженность на     │    │     │     │    │    │     │     │     │</w:t>
      </w:r>
    </w:p>
    <w:p>
      <w:pPr>
        <w:spacing w:after="120"/>
        <w:ind w:firstLine="397"/>
        <w:jc w:val="both"/>
      </w:pPr>
      <w:r>
        <w:rPr>
          <w:rFonts w:ascii="Arial" w:cs="Arial" w:eastAsia="Arial" w:hAnsi="Arial"/>
          <w:sz w:val="24"/>
          <w:szCs w:val="24"/>
        </w:rPr>
        <w:t xml:space="preserve">│  │одного клиента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│Спр-│    │     │     │</w:t>
      </w:r>
    </w:p>
    <w:p>
      <w:pPr>
        <w:spacing w:after="120"/>
        <w:ind w:firstLine="397"/>
        <w:jc w:val="both"/>
      </w:pPr>
      <w:r>
        <w:rPr>
          <w:rFonts w:ascii="Arial" w:cs="Arial" w:eastAsia="Arial" w:hAnsi="Arial"/>
          <w:sz w:val="24"/>
          <w:szCs w:val="24"/>
        </w:rPr>
        <w:t xml:space="preserve">│  │аво-│    │     │     │</w:t>
      </w:r>
    </w:p>
    <w:p>
      <w:pPr>
        <w:spacing w:after="120"/>
        <w:ind w:firstLine="397"/>
        <w:jc w:val="both"/>
      </w:pPr>
      <w:r>
        <w:rPr>
          <w:rFonts w:ascii="Arial" w:cs="Arial" w:eastAsia="Arial" w:hAnsi="Arial"/>
          <w:sz w:val="24"/>
          <w:szCs w:val="24"/>
        </w:rPr>
        <w:t xml:space="preserve">│  │чно:│    │     │     │</w:t>
      </w:r>
    </w:p>
    <w:p>
      <w:pPr>
        <w:spacing w:after="120"/>
        <w:ind w:firstLine="397"/>
        <w:jc w:val="both"/>
      </w:pPr>
      <w:r>
        <w:rPr>
          <w:rFonts w:ascii="Arial" w:cs="Arial" w:eastAsia="Arial" w:hAnsi="Arial"/>
          <w:sz w:val="24"/>
          <w:szCs w:val="24"/>
        </w:rPr>
        <w:t xml:space="preserve">│  │все-│    │     │     │</w:t>
      </w:r>
    </w:p>
    <w:p>
      <w:pPr>
        <w:spacing w:after="120"/>
        <w:ind w:firstLine="397"/>
        <w:jc w:val="both"/>
      </w:pPr>
      <w:r>
        <w:rPr>
          <w:rFonts w:ascii="Arial" w:cs="Arial" w:eastAsia="Arial" w:hAnsi="Arial"/>
          <w:sz w:val="24"/>
          <w:szCs w:val="24"/>
        </w:rPr>
        <w:t xml:space="preserve">│  │го  │    │     │     │</w:t>
      </w:r>
    </w:p>
    <w:p>
      <w:pPr>
        <w:spacing w:after="120"/>
        <w:ind w:firstLine="397"/>
        <w:jc w:val="both"/>
      </w:pPr>
      <w:r>
        <w:rPr>
          <w:rFonts w:ascii="Arial" w:cs="Arial" w:eastAsia="Arial" w:hAnsi="Arial"/>
          <w:sz w:val="24"/>
          <w:szCs w:val="24"/>
        </w:rPr>
        <w:t xml:space="preserve">│  │ко- │    │     │     │</w:t>
      </w:r>
    </w:p>
    <w:p>
      <w:pPr>
        <w:spacing w:after="120"/>
        <w:ind w:firstLine="397"/>
        <w:jc w:val="both"/>
      </w:pPr>
      <w:r>
        <w:rPr>
          <w:rFonts w:ascii="Arial" w:cs="Arial" w:eastAsia="Arial" w:hAnsi="Arial"/>
          <w:sz w:val="24"/>
          <w:szCs w:val="24"/>
        </w:rPr>
        <w:t xml:space="preserve">│  │ли- │    │     │     │</w:t>
      </w:r>
    </w:p>
    <w:p>
      <w:pPr>
        <w:spacing w:after="120"/>
        <w:ind w:firstLine="397"/>
        <w:jc w:val="both"/>
      </w:pPr>
      <w:r>
        <w:rPr>
          <w:rFonts w:ascii="Arial" w:cs="Arial" w:eastAsia="Arial" w:hAnsi="Arial"/>
          <w:sz w:val="24"/>
          <w:szCs w:val="24"/>
        </w:rPr>
        <w:t xml:space="preserve">│  │чес-│    │     │     │</w:t>
      </w:r>
    </w:p>
    <w:p>
      <w:pPr>
        <w:spacing w:after="120"/>
        <w:ind w:firstLine="397"/>
        <w:jc w:val="both"/>
      </w:pPr>
      <w:r>
        <w:rPr>
          <w:rFonts w:ascii="Arial" w:cs="Arial" w:eastAsia="Arial" w:hAnsi="Arial"/>
          <w:sz w:val="24"/>
          <w:szCs w:val="24"/>
        </w:rPr>
        <w:t xml:space="preserve">│  │тво │    │     │     │</w:t>
      </w:r>
    </w:p>
    <w:p>
      <w:pPr>
        <w:spacing w:after="120"/>
        <w:ind w:firstLine="397"/>
        <w:jc w:val="both"/>
      </w:pPr>
      <w:r>
        <w:rPr>
          <w:rFonts w:ascii="Arial" w:cs="Arial" w:eastAsia="Arial" w:hAnsi="Arial"/>
          <w:sz w:val="24"/>
          <w:szCs w:val="24"/>
        </w:rPr>
        <w:t xml:space="preserve">│  │кли-│    │     │     │</w:t>
      </w:r>
    </w:p>
    <w:p>
      <w:pPr>
        <w:spacing w:after="120"/>
        <w:ind w:firstLine="397"/>
        <w:jc w:val="both"/>
      </w:pPr>
      <w:r>
        <w:rPr>
          <w:rFonts w:ascii="Arial" w:cs="Arial" w:eastAsia="Arial" w:hAnsi="Arial"/>
          <w:sz w:val="24"/>
          <w:szCs w:val="24"/>
        </w:rPr>
        <w:t xml:space="preserve">│  │ен- │    │     │     │</w:t>
      </w:r>
    </w:p>
    <w:p>
      <w:pPr>
        <w:spacing w:after="120"/>
        <w:ind w:firstLine="397"/>
        <w:jc w:val="both"/>
      </w:pPr>
      <w:r>
        <w:rPr>
          <w:rFonts w:ascii="Arial" w:cs="Arial" w:eastAsia="Arial" w:hAnsi="Arial"/>
          <w:sz w:val="24"/>
          <w:szCs w:val="24"/>
        </w:rPr>
        <w:t xml:space="preserve">│  │тов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Если в исламском банке отсутствуют крупные риски или их меньше 15, то в остальных строках, оставшихся после заполнения, указывается самая большая совокупная задолженность в порядке убывания. Если в исламском банке крупных рисков более 15, то необходимо представить их список отдельно </w:t>
      </w:r>
      <w:r>
        <w:rPr>
          <w:rFonts w:ascii="Arial" w:cs="Arial" w:eastAsia="Arial" w:hAnsi="Arial"/>
          <w:sz w:val="24"/>
          <w:szCs w:val="24"/>
        </w:rPr>
        <w:t xml:space="preserve">в электронном формате, подписанный электронной подписью ответственного должностного лица в таком же порядке и форме.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постановления Правления Национального банка КР от 15 декабря 2021 года </w:t>
      </w:r>
      <w:hyperlink w:history="1" r:id="rIdtwovowfnamqddnszq8gvq">
        <w:r>
          <w:rPr>
            <w:rFonts w:ascii="Arial" w:cs="Arial" w:eastAsia="Arial" w:hAnsi="Arial"/>
            <w:i/>
            <w:iCs/>
            <w:color w:val="1D4ED8"/>
            <w:sz w:val="24"/>
            <w:szCs w:val="24"/>
            <w:u w:val="single"/>
          </w:rPr>
          <w:t xml:space="preserve">№ 2021-П-12/70-2-2(НПА))</w:t>
        </w:r>
      </w:hyperlink>
    </w:p>
    <w:p>
      <w:pPr>
        <w:spacing w:after="120"/>
        <w:jc w:val="both"/>
      </w:pPr>
      <w:r>
        <w:rPr>
          <w:rFonts w:ascii="Arial" w:cs="Arial" w:eastAsia="Arial" w:hAnsi="Arial"/>
          <w:sz w:val="24"/>
          <w:szCs w:val="24"/>
        </w:rPr>
        <w:t xml:space="preserve">Приложение 2</w:t>
      </w:r>
    </w:p>
    <w:p>
      <w:pPr>
        <w:spacing w:after="120"/>
        <w:ind w:firstLine="397"/>
        <w:jc w:val="center"/>
      </w:pPr>
      <w:r>
        <w:rPr>
          <w:rFonts w:ascii="Arial" w:cs="Arial" w:eastAsia="Arial" w:hAnsi="Arial"/>
          <w:sz w:val="24"/>
          <w:szCs w:val="24"/>
        </w:rPr>
        <w:t xml:space="preserve">ИНФОРМАЦИЯ</w:t>
      </w:r>
    </w:p>
    <w:p>
      <w:pPr>
        <w:spacing w:after="120"/>
        <w:ind w:firstLine="397"/>
        <w:jc w:val="center"/>
      </w:pPr>
      <w:r>
        <w:rPr>
          <w:rFonts w:ascii="Arial" w:cs="Arial" w:eastAsia="Arial" w:hAnsi="Arial"/>
          <w:sz w:val="24"/>
          <w:szCs w:val="24"/>
        </w:rPr>
        <w:t xml:space="preserve">о банках-корреспондентах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Наименование    │ Присвоенный │   Название   │Дата присвоения│</w:t>
      </w:r>
    </w:p>
    <w:p>
      <w:pPr>
        <w:spacing w:after="120"/>
        <w:ind w:firstLine="397"/>
        <w:jc w:val="both"/>
      </w:pPr>
      <w:r>
        <w:rPr>
          <w:rFonts w:ascii="Arial" w:cs="Arial" w:eastAsia="Arial" w:hAnsi="Arial"/>
          <w:sz w:val="24"/>
          <w:szCs w:val="24"/>
        </w:rPr>
        <w:t xml:space="preserve">│   │банка-корреспондента│   рейтинг   │ рейтингового │   рейтинга    │</w:t>
      </w:r>
    </w:p>
    <w:p>
      <w:pPr>
        <w:spacing w:after="120"/>
        <w:ind w:firstLine="397"/>
        <w:jc w:val="both"/>
      </w:pPr>
      <w:r>
        <w:rPr>
          <w:rFonts w:ascii="Arial" w:cs="Arial" w:eastAsia="Arial" w:hAnsi="Arial"/>
          <w:sz w:val="24"/>
          <w:szCs w:val="24"/>
        </w:rPr>
        <w:t xml:space="preserve">│   │                    │             │  агентства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2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3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4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5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6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7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8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9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ind w:firstLine="397"/>
        <w:jc w:val="center"/>
      </w:pPr>
      <w:r>
        <w:rPr>
          <w:rFonts w:ascii="Arial" w:cs="Arial" w:eastAsia="Arial" w:hAnsi="Arial"/>
          <w:sz w:val="24"/>
          <w:szCs w:val="24"/>
        </w:rPr>
        <w:t xml:space="preserve">ИНФОРМАЦИЯ</w:t>
      </w:r>
    </w:p>
    <w:p>
      <w:pPr>
        <w:spacing w:after="120"/>
        <w:ind w:firstLine="397"/>
        <w:jc w:val="center"/>
      </w:pPr>
      <w:r>
        <w:rPr>
          <w:rFonts w:ascii="Arial" w:cs="Arial" w:eastAsia="Arial" w:hAnsi="Arial"/>
          <w:sz w:val="24"/>
          <w:szCs w:val="24"/>
        </w:rPr>
        <w:t xml:space="preserve">о случаях несоответствия</w:t>
      </w:r>
    </w:p>
    <w:p>
      <w:pPr>
        <w:spacing w:after="120"/>
        <w:ind w:firstLine="397"/>
        <w:jc w:val="center"/>
      </w:pPr>
      <w:r>
        <w:rPr>
          <w:rFonts w:ascii="Arial" w:cs="Arial" w:eastAsia="Arial" w:hAnsi="Arial"/>
          <w:sz w:val="24"/>
          <w:szCs w:val="24"/>
        </w:rPr>
        <w:t xml:space="preserve">требованиям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Имя клиента/  │   Остаток   │  Сумма,   │  Дата  │Кол-во │Класси-│</w:t>
      </w:r>
    </w:p>
    <w:p>
      <w:pPr>
        <w:spacing w:after="120"/>
        <w:ind w:firstLine="397"/>
        <w:jc w:val="both"/>
      </w:pPr>
      <w:r>
        <w:rPr>
          <w:rFonts w:ascii="Arial" w:cs="Arial" w:eastAsia="Arial" w:hAnsi="Arial"/>
          <w:sz w:val="24"/>
          <w:szCs w:val="24"/>
        </w:rPr>
        <w:t xml:space="preserve">│ │  поставщика и  │ совокупной  │превышающая│погаше- │пролон-│фикация│</w:t>
      </w:r>
    </w:p>
    <w:p>
      <w:pPr>
        <w:spacing w:after="120"/>
        <w:ind w:firstLine="397"/>
        <w:jc w:val="both"/>
      </w:pPr>
      <w:r>
        <w:rPr>
          <w:rFonts w:ascii="Arial" w:cs="Arial" w:eastAsia="Arial" w:hAnsi="Arial"/>
          <w:sz w:val="24"/>
          <w:szCs w:val="24"/>
        </w:rPr>
        <w:t xml:space="preserve">│ │   связанных с  │задолженности│ норматив  │ ния по │ гаций │       │</w:t>
      </w:r>
    </w:p>
    <w:p>
      <w:pPr>
        <w:spacing w:after="120"/>
        <w:ind w:firstLine="397"/>
        <w:jc w:val="both"/>
      </w:pPr>
      <w:r>
        <w:rPr>
          <w:rFonts w:ascii="Arial" w:cs="Arial" w:eastAsia="Arial" w:hAnsi="Arial"/>
          <w:sz w:val="24"/>
          <w:szCs w:val="24"/>
        </w:rPr>
        <w:t xml:space="preserve">│ │     ним лиц    │   (СЗ) на   │(тыс. сом) │договору│       │       │</w:t>
      </w:r>
    </w:p>
    <w:p>
      <w:pPr>
        <w:spacing w:after="120"/>
        <w:ind w:firstLine="397"/>
        <w:jc w:val="both"/>
      </w:pPr>
      <w:r>
        <w:rPr>
          <w:rFonts w:ascii="Arial" w:cs="Arial" w:eastAsia="Arial" w:hAnsi="Arial"/>
          <w:sz w:val="24"/>
          <w:szCs w:val="24"/>
        </w:rPr>
        <w:t xml:space="preserve">│ │                │отчетную дату│           │        │       │       │</w:t>
      </w:r>
    </w:p>
    <w:p>
      <w:pPr>
        <w:spacing w:after="120"/>
        <w:ind w:firstLine="397"/>
        <w:jc w:val="both"/>
      </w:pPr>
      <w:r>
        <w:rPr>
          <w:rFonts w:ascii="Arial" w:cs="Arial" w:eastAsia="Arial" w:hAnsi="Arial"/>
          <w:sz w:val="24"/>
          <w:szCs w:val="24"/>
        </w:rPr>
        <w:t xml:space="preserve">│ │                │ (тыс. сом)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│Общая совокупная│             │           │        │       │       │</w:t>
      </w:r>
    </w:p>
    <w:p>
      <w:pPr>
        <w:spacing w:after="120"/>
        <w:ind w:firstLine="397"/>
        <w:jc w:val="both"/>
      </w:pPr>
      <w:r>
        <w:rPr>
          <w:rFonts w:ascii="Arial" w:cs="Arial" w:eastAsia="Arial" w:hAnsi="Arial"/>
          <w:sz w:val="24"/>
          <w:szCs w:val="24"/>
        </w:rPr>
        <w:t xml:space="preserve">│ │задолженность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13xyvjzpof1znisxqk6">
      <w:r>
        <w:rPr>
          <w:rFonts w:ascii="Arial" w:cs="Arial" w:eastAsia="Arial" w:hAnsi="Arial"/>
          <w:color w:val="132D3F"/>
          <w:sz w:val="16"/>
          <w:szCs w:val="16"/>
          <w:u w:val="single"/>
        </w:rPr>
        <w:t xml:space="preserve">dalil.kg/document/302541</w:t>
      </w:r>
    </w:hyperlink>
  </w:p>
  <w:p>
    <w:pPr>
      <w:spacing w:after="0" w:before="40"/>
      <w:jc w:val="center"/>
    </w:pPr>
    <w:hyperlink w:history="1" r:id="rIdtvpc8h9ftqghn_ylikhv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e1pj5edr3ukzbukcdtn" Type="http://schemas.openxmlformats.org/officeDocument/2006/relationships/hyperlink" Target="https://dalil.kg/document/880804" TargetMode="External"/><Relationship Id="rIds0yzi4jabwpajw93fwzqs" Type="http://schemas.openxmlformats.org/officeDocument/2006/relationships/hyperlink" Target="https://dalil.kg/document/302541#p1" TargetMode="External"/><Relationship Id="rId9dgxedqvug9dccos-ptjp" Type="http://schemas.openxmlformats.org/officeDocument/2006/relationships/hyperlink" Target="https://dalil.kg/document/302541#p2" TargetMode="External"/><Relationship Id="rIdenkrjxbf7p6eb8fduqd-e" Type="http://schemas.openxmlformats.org/officeDocument/2006/relationships/hyperlink" Target="https://dalil.kg/document/302541#p3" TargetMode="External"/><Relationship Id="rId78iqjx4mhfvpw-cgmb8lm" Type="http://schemas.openxmlformats.org/officeDocument/2006/relationships/hyperlink" Target="https://dalil.kg/document/559" TargetMode="External"/><Relationship Id="rIdtn1wp4ped_79env3vp9ic" Type="http://schemas.openxmlformats.org/officeDocument/2006/relationships/hyperlink" Target="https://dalil.kg/document/560" TargetMode="External"/><Relationship Id="rIdulao5_rxwva1osz89kvzu" Type="http://schemas.openxmlformats.org/officeDocument/2006/relationships/hyperlink" Target="https://dalil.kg/document/4" TargetMode="External"/><Relationship Id="rIddyorwp01lyp_saxzoq5r-" Type="http://schemas.openxmlformats.org/officeDocument/2006/relationships/hyperlink" Target="https://dalil.kg/document/1644" TargetMode="External"/><Relationship Id="rIdtwovowfnamqddnszq8gvq" Type="http://schemas.openxmlformats.org/officeDocument/2006/relationships/hyperlink" Target="https://dalil.kg/document/88080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13xyvjzpof1znisxqk6" Type="http://schemas.openxmlformats.org/officeDocument/2006/relationships/hyperlink" Target="https://dalil.kg/document/302541" TargetMode="External"/><Relationship Id="rIdtvpc8h9ftqghn_ylikhv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2026-09-25T03:50:19.022Z</dcterms:created>
  <dcterms:modified xsi:type="dcterms:W3CDTF">2026-09-25T03:50:19.022Z</dcterms:modified>
</cp:coreProperties>
</file>

<file path=docProps/custom.xml><?xml version="1.0" encoding="utf-8"?>
<Properties xmlns="http://schemas.openxmlformats.org/officeDocument/2006/custom-properties" xmlns:vt="http://schemas.openxmlformats.org/officeDocument/2006/docPropsVTypes"/>
</file>