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gmcq-trzymez0xnf-5ni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8 июня 2017 года № 2017-П-12/23-1-(НПА)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апреля 2013 года № 13/12</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 5/7 от 02.03.2006 года "Об утверждении Положения "О лицензировании деятельности банков", регистрационный номер Министерства юстиции Кыргызской Республики от 07.04.2006 года № 34-06</w:t>
      </w:r>
    </w:p>
    <w:p>
      <w:pPr>
        <w:spacing w:after="120"/>
        <w:jc w:val="both"/>
      </w:pPr>
      <w:r>
        <w:rPr>
          <w:rFonts w:ascii="Arial" w:cs="Arial" w:eastAsia="Arial" w:hAnsi="Arial"/>
          <w:sz w:val="24"/>
          <w:szCs w:val="24"/>
        </w:rPr>
        <w:t xml:space="preserve">В соответствии со статьями 7 и 43 </w:t>
      </w:r>
      <w:hyperlink w:history="1" r:id="rIdssjke6xr5tidjbpokwgk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изменения и дополнения в </w:t>
      </w:r>
      <w:hyperlink w:history="1" r:id="rIdmqddwe6g164m22yoyuer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 утвержденное </w:t>
      </w:r>
      <w:hyperlink w:history="1" r:id="rIdsqgmac7cufsrh12en4y8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зарегистрированное в Министерстве юстиции Кыргызской Республики от 7 апреля 2006 года № 34-06 (прилагаются).</w:t>
      </w:r>
    </w:p>
    <w:p>
      <w:pPr>
        <w:spacing w:after="120"/>
        <w:jc w:val="both"/>
      </w:pPr>
      <w:r>
        <w:rPr>
          <w:rFonts w:ascii="Arial" w:cs="Arial" w:eastAsia="Arial" w:hAnsi="Arial"/>
          <w:sz w:val="24"/>
          <w:szCs w:val="24"/>
        </w:rPr>
        <w:t xml:space="preserve">2.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после официального опубликования.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Национального банка Кыргызской Республики Чокоева З.Л.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ИЗМЕНЕНИЯ И ДОПОЛНЕНИЯ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o2qkeindgtws4kuliqms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 утвержденное </w:t>
      </w:r>
      <w:hyperlink w:history="1" r:id="rIdj3x8xbajwc7-covj0trw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mdl5lv6mu98lrou_bgmc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следующие изменения и дополнения:</w:t>
      </w:r>
    </w:p>
    <w:p>
      <w:pPr>
        <w:spacing w:after="120"/>
        <w:jc w:val="both"/>
      </w:pPr>
      <w:r>
        <w:rPr>
          <w:rFonts w:ascii="Arial" w:cs="Arial" w:eastAsia="Arial" w:hAnsi="Arial"/>
          <w:sz w:val="24"/>
          <w:szCs w:val="24"/>
        </w:rPr>
        <w:t xml:space="preserve">1. Главу 12 дополнить пунктом 12.12 следующего содержания: "12.12. В случае отказа Национальным банком в удовлетворении заявки по любому из оснований, указанных в пункте 12.4 настоящей главы, лицо, ставшее акционером банка на основании различных сделок об отчуждении имущества, решения суда, в порядке универсального правопреемства прямо или косвенно значительным участником банка или владельцем (в том числе по договору доверительного управления) более двадцати процентов голосующих акций банка или контролирующим лицом банка, должно прекратить осуществление влияния на руководство или политику банка (включая прямое или косвенное осуществление права голоса) и должно сократить свое участие в уставном капитале банка до уровня ниже того, который предполагает значительное участие или контроль, в течение периода времени, определенного Национальным банком.".</w:t>
      </w:r>
    </w:p>
    <w:p>
      <w:pPr>
        <w:spacing w:after="120"/>
        <w:jc w:val="both"/>
      </w:pPr>
      <w:r>
        <w:rPr>
          <w:rFonts w:ascii="Arial" w:cs="Arial" w:eastAsia="Arial" w:hAnsi="Arial"/>
          <w:sz w:val="24"/>
          <w:szCs w:val="24"/>
        </w:rPr>
        <w:t xml:space="preserve">2. Пункт 13.1 изложить в следующей редакции: "13.1. Должностными лицами, кандидатуры которых подлежат обязательному согласованию с Национальным банком являются: председатель и члены Совета директоров, члены Шариатского Совета, председатель правления (президент, генеральный менеджер, руководитель филиала банка-нерезидента), его заместители (вице-президент, заместитель генерального менеджера, заместитель руководителя филиала банка-нерезидента), члены правления, управляющий директор, председатель комитета по аудиту, руководитель структурного подразделения, ответственный за кредитную деятельность банка, руководитель структурного подразделения, ответственный за управление активами и пассивами банка (либо лицо, приравненное к нему по своим функциональным обязанностям), главный бухгалтер, руководитель исламского окна, руководитель структурного подразделения, ответственный за финансирование по исламским принципам, руководитель структурного подразделения, ответственный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Согласованию с Национальным банком также подлежат кандидатуры на должность руководителя службы внутреннего аудита и руководителя структурного подразделения, ответственного за управление рисками банка.</w:t>
      </w:r>
    </w:p>
    <w:p>
      <w:pPr>
        <w:spacing w:after="120"/>
        <w:jc w:val="both"/>
      </w:pPr>
      <w:r>
        <w:rPr>
          <w:rFonts w:ascii="Arial" w:cs="Arial" w:eastAsia="Arial" w:hAnsi="Arial"/>
          <w:sz w:val="24"/>
          <w:szCs w:val="24"/>
        </w:rPr>
        <w:t xml:space="preserve">Согласованию с Национальным банком также подлежат любые лица, приравненные по своим функциональным обязанностям к вышеперечисленным должностным лицам.".</w:t>
      </w:r>
    </w:p>
    <w:p>
      <w:pPr>
        <w:spacing w:after="120"/>
        <w:jc w:val="both"/>
      </w:pPr>
      <w:r>
        <w:rPr>
          <w:rFonts w:ascii="Arial" w:cs="Arial" w:eastAsia="Arial" w:hAnsi="Arial"/>
          <w:sz w:val="24"/>
          <w:szCs w:val="24"/>
        </w:rPr>
        <w:t xml:space="preserve">3. Подпункт 1) пункта 14-1.1 изложить в следующей редакции: "1) иметь диплом о полном высшем образовании или диплом о базовом высшем образовании (степень бакалавра) и международно-признанный сертификат, подтверждающий прохождение обучения по направлению "банковская/финансовая сфера";".</w:t>
      </w:r>
    </w:p>
    <w:p>
      <w:pPr>
        <w:spacing w:after="120"/>
        <w:jc w:val="both"/>
      </w:pPr>
      <w:r>
        <w:rPr>
          <w:rFonts w:ascii="Arial" w:cs="Arial" w:eastAsia="Arial" w:hAnsi="Arial"/>
          <w:sz w:val="24"/>
          <w:szCs w:val="24"/>
        </w:rPr>
        <w:t xml:space="preserve">4. Подпункт 1) пункта 15.2 после слов "и иметь соответствующие сертификаты" дополнить следующими словами: "или иные документы, подтверждающие успешное окончание курса или повышения квалификации по вышеуказанному направлению (сдача экзамена/теста и т.п.), которые были получены в течение пяти лет, предшествовавших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w:t>
      </w:r>
    </w:p>
    <w:p>
      <w:pPr>
        <w:spacing w:after="120"/>
        <w:jc w:val="both"/>
      </w:pPr>
      <w:r>
        <w:rPr>
          <w:rFonts w:ascii="Arial" w:cs="Arial" w:eastAsia="Arial" w:hAnsi="Arial"/>
          <w:sz w:val="24"/>
          <w:szCs w:val="24"/>
        </w:rPr>
        <w:t xml:space="preserve">5. Подпункт 2 пункта 15.2 после слов "(Банковский учебный центр, Объединение бухгалтеров и аудиторов и другие учебные центры)" дополнить следующими словами: "подтверждающие успешное окончание курса или повышения квалификации по вышеуказанным направлениям (сдача экзамена/теста и т.п.), которые были получены в течение пяти лет, предшествующих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w:t>
      </w:r>
    </w:p>
    <w:p>
      <w:pPr>
        <w:spacing w:after="120"/>
        <w:jc w:val="both"/>
      </w:pPr>
      <w:r>
        <w:rPr>
          <w:rFonts w:ascii="Arial" w:cs="Arial" w:eastAsia="Arial" w:hAnsi="Arial"/>
          <w:sz w:val="24"/>
          <w:szCs w:val="24"/>
        </w:rPr>
        <w:t xml:space="preserve">6. Во втором абзаце пункта 19.8 после слов "следующие сведения" исключить слова ", публикуемые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7. Пункт 19.8 дополнить абзацем следующего содержания: "Сведения подпунктов 1), 2), 3), 4) и 8) настоящего пункта публикуются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8. Во втором абзаце пункта 21.5 после слов "следующие сведения" исключить слова ", публикуемые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9. Пункт 21.5 дополнить абзацем следующего содержания: "Сведения подпунктов 1), 2), 3), 5) и 7) настоящего пункта публикуются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10. В пятом абзаце пункта 22.1 после слов "следующие сведения" исключить слова ", публикуемые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11. Пункт 22.1 дополнить абзацем следующего содержания: "Сведения подпунктов 1), 2) и 3) настоящего пункта публикуются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12. Пункт 40.4 дополнить абзацем следующего содержания: "МФК/МКК, одновременно с подачей ходатайства о выдаче предварительного разрешения на получение банковских лицензий, вправе подать в Национальный банк заявление о получении разрешения Национального банка на переоформление действующих филиалов МФК/МКК в филиалы банка, с приложением документов в соответствии с пунктом 19.4 главы 19 настоящего Положения.".</w:t>
      </w:r>
    </w:p>
    <w:p>
      <w:pPr>
        <w:spacing w:after="120"/>
        <w:jc w:val="both"/>
      </w:pPr>
      <w:r>
        <w:rPr>
          <w:rFonts w:ascii="Arial" w:cs="Arial" w:eastAsia="Arial" w:hAnsi="Arial"/>
          <w:sz w:val="24"/>
          <w:szCs w:val="24"/>
        </w:rPr>
        <w:t xml:space="preserve">13. Пункт 41.5 дополнить абзацем следующего содержания: "Одновременно с предварительным разрешением МФК/МКК на получение (выдачу) банковских лицензий, Национальный банк, после рассмотрения заявления МФК/МКК о получении разрешения Национального банка на переоформление действующих филиалов МФК/МКК в филиалы банка и приложенных к нему документов, а также при отсутствии замечаний, может выдать разрешение на переоформление действующих филиалов МФК/МКК в филиалы банка для прохождения процедуры перерегистрации в органах регистрации юридических лиц.".</w:t>
      </w:r>
    </w:p>
    <w:p>
      <w:pPr>
        <w:spacing w:after="120"/>
        <w:jc w:val="both"/>
      </w:pPr>
      <w:r>
        <w:rPr>
          <w:rFonts w:ascii="Arial" w:cs="Arial" w:eastAsia="Arial" w:hAnsi="Arial"/>
          <w:sz w:val="24"/>
          <w:szCs w:val="24"/>
        </w:rPr>
        <w:t xml:space="preserve">14. Подпункт 1) пункта 41.8 дополнить абзацем следующего содержания: "В случае, если одновременно с предварительным разрешением МФК/МКК на получение (выдачу) банковских лицензий выдается разрешение на переоформление действующих филиалов МФК/МКК в филиалы банка, Национальный банк направляет в органы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w:t>
      </w:r>
    </w:p>
    <w:p>
      <w:pPr>
        <w:spacing w:after="120"/>
        <w:jc w:val="both"/>
      </w:pPr>
      <w:r>
        <w:rPr>
          <w:rFonts w:ascii="Arial" w:cs="Arial" w:eastAsia="Arial" w:hAnsi="Arial"/>
          <w:sz w:val="24"/>
          <w:szCs w:val="24"/>
        </w:rPr>
        <w:t xml:space="preserve">15. В подпункте 1) пункта 41.9 после слов "юридического лица" добавить слова "(в том числе и филиалов),".</w:t>
      </w:r>
    </w:p>
    <w:p>
      <w:pPr>
        <w:spacing w:after="120"/>
        <w:jc w:val="both"/>
      </w:pPr>
      <w:r>
        <w:rPr>
          <w:rFonts w:ascii="Arial" w:cs="Arial" w:eastAsia="Arial" w:hAnsi="Arial"/>
          <w:sz w:val="24"/>
          <w:szCs w:val="24"/>
        </w:rPr>
        <w:t xml:space="preserve">16. Пункт 13 Приложения 17 изложить в следующей редакции:</w:t>
      </w:r>
    </w:p>
    <w:p>
      <w:pPr>
        <w:spacing w:after="120"/>
        <w:jc w:val="both"/>
      </w:pPr>
      <w:r>
        <w:rPr>
          <w:rFonts w:ascii="Arial" w:cs="Arial" w:eastAsia="Arial" w:hAnsi="Arial"/>
          <w:sz w:val="24"/>
          <w:szCs w:val="24"/>
        </w:rPr>
        <w:t xml:space="preserve">"13. Укажите компании в любой стране, в которых Вы являлись и/или являетесь учредителем, акционером (владельцем) в течение последних 10 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5"/>
        <w:gridCol w:w="1512"/>
        <w:gridCol w:w="1637"/>
        <w:gridCol w:w="1071"/>
        <w:gridCol w:w="1596"/>
        <w:gridCol w:w="2447"/>
      </w:tblGrid>
      <w:tr>
        <w:tc>
          <w:tcPr>
            <w:tcW w:type="dxa" w:w="19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юридического лица, местонахождение</w:t>
            </w:r>
          </w:p>
        </w:tc>
        <w:tc>
          <w:tcPr>
            <w:tcW w:type="dxa" w:w="15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деятельности юридического лица</w:t>
            </w:r>
          </w:p>
        </w:tc>
        <w:tc>
          <w:tcPr>
            <w:tcW w:type="dxa" w:w="16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акций, находящихся во владении</w:t>
            </w:r>
          </w:p>
        </w:tc>
        <w:tc>
          <w:tcPr>
            <w:tcW w:type="dxa" w:w="10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владения в капитале в сомах</w:t>
            </w:r>
          </w:p>
        </w:tc>
        <w:tc>
          <w:tcPr>
            <w:tcW w:type="dxa" w:w="15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 уставном капитале данного юридического лица в %</w:t>
            </w:r>
          </w:p>
        </w:tc>
        <w:tc>
          <w:tcPr>
            <w:tcW w:type="dxa" w:w="24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w:t>
            </w:r>
          </w:p>
          <w:p>
            <w:pPr>
              <w:jc w:val="left"/>
            </w:pPr>
            <w:r>
              <w:rPr>
                <w:rFonts w:ascii="Arial" w:cs="Arial" w:eastAsia="Arial" w:hAnsi="Arial"/>
                <w:sz w:val="24"/>
                <w:szCs w:val="24"/>
              </w:rPr>
              <w:t xml:space="preserve">(ИНН)</w:t>
            </w:r>
          </w:p>
        </w:tc>
      </w:tr>
      <w:tr>
        <w:tc>
          <w:tcPr>
            <w:tcW w:type="dxa" w:w="1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Пункт 2.3 Приложения 18 изложить в следующей редакции:</w:t>
      </w:r>
    </w:p>
    <w:p>
      <w:pPr>
        <w:spacing w:after="120"/>
        <w:jc w:val="both"/>
      </w:pPr>
      <w:r>
        <w:rPr>
          <w:rFonts w:ascii="Arial" w:cs="Arial" w:eastAsia="Arial" w:hAnsi="Arial"/>
          <w:sz w:val="24"/>
          <w:szCs w:val="24"/>
        </w:rPr>
        <w:t xml:space="preserve">"2.3. Укажите компании в любой стране, в которых Вы являлись и/или являетесь учредителем, акционером (владельцем) в течение последних 10 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5"/>
        <w:gridCol w:w="1512"/>
        <w:gridCol w:w="1637"/>
        <w:gridCol w:w="1071"/>
        <w:gridCol w:w="1596"/>
        <w:gridCol w:w="2447"/>
      </w:tblGrid>
      <w:tr>
        <w:tc>
          <w:tcPr>
            <w:tcW w:type="dxa" w:w="19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юридического лица, местонахождение</w:t>
            </w:r>
          </w:p>
        </w:tc>
        <w:tc>
          <w:tcPr>
            <w:tcW w:type="dxa" w:w="15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деятельности юридического лица</w:t>
            </w:r>
          </w:p>
        </w:tc>
        <w:tc>
          <w:tcPr>
            <w:tcW w:type="dxa" w:w="16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акций, находящихся во владении</w:t>
            </w:r>
          </w:p>
        </w:tc>
        <w:tc>
          <w:tcPr>
            <w:tcW w:type="dxa" w:w="10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владения в капитале в сомах</w:t>
            </w:r>
          </w:p>
        </w:tc>
        <w:tc>
          <w:tcPr>
            <w:tcW w:type="dxa" w:w="15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 уставном капитале данного юридического лица в %</w:t>
            </w:r>
          </w:p>
        </w:tc>
        <w:tc>
          <w:tcPr>
            <w:tcW w:type="dxa" w:w="24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w:t>
            </w:r>
          </w:p>
          <w:p>
            <w:pPr>
              <w:jc w:val="left"/>
            </w:pPr>
            <w:r>
              <w:rPr>
                <w:rFonts w:ascii="Arial" w:cs="Arial" w:eastAsia="Arial" w:hAnsi="Arial"/>
                <w:sz w:val="24"/>
                <w:szCs w:val="24"/>
              </w:rPr>
              <w:t xml:space="preserve">(ИНН)</w:t>
            </w:r>
          </w:p>
        </w:tc>
      </w:tr>
      <w:tr>
        <w:tc>
          <w:tcPr>
            <w:tcW w:type="dxa" w:w="1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Пункт 4.2 Приложения 18 изложить в следующей редакции:</w:t>
      </w:r>
    </w:p>
    <w:p>
      <w:pPr>
        <w:spacing w:after="120"/>
        <w:jc w:val="both"/>
      </w:pPr>
      <w:r>
        <w:rPr>
          <w:rFonts w:ascii="Arial" w:cs="Arial" w:eastAsia="Arial" w:hAnsi="Arial"/>
          <w:sz w:val="24"/>
          <w:szCs w:val="24"/>
        </w:rPr>
        <w:t xml:space="preserve">"4.2. Я, 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Подтверждаю,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удовлетворении заявки на приобретение акций банка и повлечь ответственность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 "___" ____________ г.".</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3-v154ulmzz_lkauvoj9">
      <w:r>
        <w:rPr>
          <w:rFonts w:ascii="Arial" w:cs="Arial" w:eastAsia="Arial" w:hAnsi="Arial"/>
          <w:color w:val="132D3F"/>
          <w:sz w:val="16"/>
          <w:szCs w:val="16"/>
          <w:u w:val="single"/>
        </w:rPr>
        <w:t xml:space="preserve">dalil.kg/document/302622</w:t>
      </w:r>
    </w:hyperlink>
  </w:p>
  <w:p>
    <w:pPr>
      <w:spacing w:after="0" w:before="40"/>
      <w:jc w:val="center"/>
    </w:pPr>
    <w:hyperlink w:history="1" r:id="rIdm0t7yfefd-ztwvrxcnx2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cq-trzymez0xnf-5ni9" Type="http://schemas.openxmlformats.org/officeDocument/2006/relationships/hyperlink" Target="https://dalil.kg/document/800233" TargetMode="External"/><Relationship Id="rIdssjke6xr5tidjbpokwgkl" Type="http://schemas.openxmlformats.org/officeDocument/2006/relationships/hyperlink" Target="https://dalil.kg/document/559" TargetMode="External"/><Relationship Id="rIdmqddwe6g164m22yoyuerd" Type="http://schemas.openxmlformats.org/officeDocument/2006/relationships/hyperlink" Target="https://dalil.kg/document/300400" TargetMode="External"/><Relationship Id="rIdsqgmac7cufsrh12en4y85" Type="http://schemas.openxmlformats.org/officeDocument/2006/relationships/hyperlink" Target="https://dalil.kg/document/300399" TargetMode="External"/><Relationship Id="rIdo2qkeindgtws4kuliqmsq" Type="http://schemas.openxmlformats.org/officeDocument/2006/relationships/hyperlink" Target="https://dalil.kg/document/300400" TargetMode="External"/><Relationship Id="rIdj3x8xbajwc7-covj0trw2" Type="http://schemas.openxmlformats.org/officeDocument/2006/relationships/hyperlink" Target="https://dalil.kg/document/300399" TargetMode="External"/><Relationship Id="rIdmdl5lv6mu98lrou_bgmc6" Type="http://schemas.openxmlformats.org/officeDocument/2006/relationships/hyperlink" Target="https://dalil.kg/document/30040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3-v154ulmzz_lkauvoj9" Type="http://schemas.openxmlformats.org/officeDocument/2006/relationships/hyperlink" Target="https://dalil.kg/document/302622" TargetMode="External"/><Relationship Id="rIdm0t7yfefd-ztwvrxcnx2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2026-09-24T05:33:44.344Z</dcterms:created>
  <dcterms:modified xsi:type="dcterms:W3CDTF">2026-09-24T05:33:44.344Z</dcterms:modified>
</cp:coreProperties>
</file>

<file path=docProps/custom.xml><?xml version="1.0" encoding="utf-8"?>
<Properties xmlns="http://schemas.openxmlformats.org/officeDocument/2006/custom-properties" xmlns:vt="http://schemas.openxmlformats.org/officeDocument/2006/docPropsVTypes"/>
</file>