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jmu3se0io7uz49cnrmu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сентября 2013 года № 35/13</w:t>
      </w:r>
    </w:p>
    <w:p>
      <w:pPr>
        <w:spacing w:after="240" w:before="200"/>
        <w:jc w:val="center"/>
      </w:pPr>
      <w:r>
        <w:rPr>
          <w:rFonts w:ascii="Arial" w:cs="Arial" w:eastAsia="Arial" w:hAnsi="Arial"/>
          <w:b/>
          <w:bCs/>
          <w:sz w:val="32"/>
          <w:szCs w:val="32"/>
        </w:rPr>
        <w:t xml:space="preserve">ПОЛОЖЕНИЕ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egbeqw-adkf9cwliq2mbe">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lqyhjzkcbvowbq7ogj-q8">
        <w:r>
          <w:rPr>
            <w:rFonts w:ascii="Arial" w:cs="Arial" w:eastAsia="Arial" w:hAnsi="Arial"/>
            <w:i/>
            <w:iCs/>
            <w:color w:val="1D4ED8"/>
            <w:sz w:val="24"/>
            <w:szCs w:val="24"/>
            <w:u w:val="single"/>
          </w:rPr>
          <w:t xml:space="preserve">14 октября 2015 года № 62/4</w:t>
        </w:r>
      </w:hyperlink>
      <w:r>
        <w:rPr>
          <w:rFonts w:ascii="Arial" w:cs="Arial" w:eastAsia="Arial" w:hAnsi="Arial"/>
          <w:i/>
          <w:iCs/>
          <w:sz w:val="24"/>
          <w:szCs w:val="24"/>
        </w:rPr>
        <w:t xml:space="preserve">, </w:t>
      </w:r>
      <w:r>
        <w:rPr>
          <w:rFonts w:ascii="Arial" w:cs="Arial" w:eastAsia="Arial" w:hAnsi="Arial"/>
          <w:sz w:val="24"/>
          <w:szCs w:val="24"/>
        </w:rPr>
        <w:t xml:space="preserve">10 февраля 2016 года № 7/3, 24 августа 2016 года № 35/4, 28 сентября 2016 года № 40/6, 22 февраля 2017 года № 6/4, 31 мая 2017 года № 21/11, 19 июня 2019 года № 2019-П-12/32-3, 24 марта 2020 года № 2020-П-12/15-5, 31 марта 2021 года № 2021-П-12/14-5, </w:t>
      </w:r>
      <w:hyperlink w:history="1" r:id="rIdnnkkcdw4yjyq7duij8zmm">
        <w:r>
          <w:rPr>
            <w:rFonts w:ascii="Arial" w:cs="Arial" w:eastAsia="Arial" w:hAnsi="Arial"/>
            <w:color w:val="1D4ED8"/>
            <w:sz w:val="24"/>
            <w:szCs w:val="24"/>
            <w:u w:val="single"/>
          </w:rPr>
          <w:t xml:space="preserve">30 июня 2021 года № 2021-П-12/36-3</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распространяется на коммерческие банки, включая банки, имеющие "исламское окно", и микрофинансовые компании, привлекающие срочные депозиты и осуществляющие операции в соответствии с исламскими принципами банковского дела и финансирования (далее - банки).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формирование в банках адекватной системы управления кредитным риском при осуществлении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2-1. Данное Положение также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qfhz5-7cyju2zzv34h5v">
        <w:r>
          <w:rPr>
            <w:rFonts w:ascii="Arial" w:cs="Arial" w:eastAsia="Arial" w:hAnsi="Arial"/>
            <w:i/>
            <w:iCs/>
            <w:color w:val="1D4ED8"/>
            <w:sz w:val="24"/>
            <w:szCs w:val="24"/>
            <w:u w:val="single"/>
          </w:rPr>
          <w:t xml:space="preserve">30 июня 2021 года № 2021-П-12/36-</w:t>
        </w:r>
      </w:hyperlink>
      <w:r>
        <w:rPr>
          <w:rFonts w:ascii="Arial" w:cs="Arial" w:eastAsia="Arial" w:hAnsi="Arial"/>
          <w:i/>
          <w:iCs/>
          <w:sz w:val="24"/>
          <w:szCs w:val="24"/>
        </w:rPr>
        <w:t xml:space="preserve">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клиентами/поставщиками/партнерами (далее - клиент) своих обязательств в соответствии со сроками и условиями договора, что может оказать негативное влияние на капитал банка или его прибыль.</w:t>
      </w:r>
    </w:p>
    <w:p>
      <w:pPr>
        <w:spacing w:after="60"/>
        <w:ind w:firstLine="567"/>
        <w:jc w:val="both"/>
      </w:pPr>
      <w:r>
        <w:rPr>
          <w:rFonts w:ascii="Arial" w:cs="Arial" w:eastAsia="Arial" w:hAnsi="Arial"/>
          <w:sz w:val="24"/>
          <w:szCs w:val="24"/>
        </w:rPr>
        <w:t xml:space="preserve">Кредитный риск присутствует во всех видах деятельности банка, где положительный результат зависит от выполнения клиентом обязательств перед банком, предусмотренных соглашениями и/или договорами.</w:t>
      </w:r>
    </w:p>
    <w:p>
      <w:pPr>
        <w:spacing w:after="60"/>
        <w:ind w:firstLine="567"/>
        <w:jc w:val="both"/>
      </w:pPr>
      <w:r>
        <w:rPr>
          <w:rFonts w:ascii="Arial" w:cs="Arial" w:eastAsia="Arial" w:hAnsi="Arial"/>
          <w:sz w:val="24"/>
          <w:szCs w:val="24"/>
        </w:rPr>
        <w:t xml:space="preserve">Цель управления кредитным риском заключается в определении степени подверженности банка кредитному риску, выявлении причин его возникновения и определении внутренних и внешних факторов повышения риска, на основании которых можно прогнозировать кредитный риск и осуществлять необходимые меры для его минимизации до приемлемого уровня.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Рефинансирование</w:t>
      </w:r>
      <w:r>
        <w:rPr>
          <w:rFonts w:ascii="Arial" w:cs="Arial" w:eastAsia="Arial" w:hAnsi="Arial"/>
          <w:sz w:val="24"/>
          <w:szCs w:val="24"/>
        </w:rPr>
        <w:t xml:space="preserve"> - это заключение соответствующего нового договора для полного либо частичного погашения действующего актива.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Бланковые активы</w:t>
      </w:r>
      <w:r>
        <w:rPr>
          <w:rFonts w:ascii="Arial" w:cs="Arial" w:eastAsia="Arial" w:hAnsi="Arial"/>
          <w:sz w:val="24"/>
          <w:szCs w:val="24"/>
        </w:rPr>
        <w:t xml:space="preserve"> - это активы, несущие в себе кредитный риск, обеспечением по которому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только платежеспособному клиенту/партнеру на основании его репутации и оценки уровня его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ulaewdezdhflaswzwlov">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целях настоящего Положения под </w:t>
      </w:r>
      <w:r>
        <w:rPr>
          <w:rFonts w:ascii="Arial" w:cs="Arial" w:eastAsia="Arial" w:hAnsi="Arial"/>
          <w:b/>
          <w:bCs/>
          <w:sz w:val="24"/>
          <w:szCs w:val="24"/>
        </w:rPr>
        <w:t xml:space="preserve">активами, несущими в себе кредитный риск</w:t>
      </w:r>
      <w:r>
        <w:rPr>
          <w:rFonts w:ascii="Arial" w:cs="Arial" w:eastAsia="Arial" w:hAnsi="Arial"/>
          <w:sz w:val="24"/>
          <w:szCs w:val="24"/>
        </w:rPr>
        <w:t xml:space="preserve">, понимаются активы, размещаемые по исламским принципам финансирования. Трансграничные активы, несущие в себе кредитный риск - активы,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pPr>
        <w:spacing w:after="60"/>
        <w:ind w:firstLine="567"/>
        <w:jc w:val="both"/>
      </w:pPr>
      <w:r>
        <w:rPr>
          <w:rFonts w:ascii="Arial" w:cs="Arial" w:eastAsia="Arial" w:hAnsi="Arial"/>
          <w:sz w:val="24"/>
          <w:szCs w:val="24"/>
        </w:rPr>
        <w:t xml:space="preserve">Из-за уникальных характеристик каждого вида активов, несущих в себе кредитный риск, необязательного характера некоторых договоров, кредитный риск должен оцениваться отдельно по каждому виду актива для осуществления соответствующего внутреннего контроля и управления риском.</w:t>
      </w:r>
    </w:p>
    <w:p>
      <w:pPr>
        <w:spacing w:after="60"/>
        <w:ind w:firstLine="567"/>
        <w:jc w:val="both"/>
      </w:pPr>
      <w:r>
        <w:rPr>
          <w:rFonts w:ascii="Arial" w:cs="Arial" w:eastAsia="Arial" w:hAnsi="Arial"/>
          <w:sz w:val="24"/>
          <w:szCs w:val="24"/>
        </w:rPr>
        <w:t xml:space="preserve">Контрактное финансирование представляет собой актив, несущий в себе кредитный риск, в виде краткосрочного финансирования (до одного года) оборотного капитала для исполнения обязательств клиента/партнера по договору с контрагентами.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d8f9pc2xdeflgluah7a1">
        <w:r>
          <w:rPr>
            <w:rFonts w:ascii="Arial" w:cs="Arial" w:eastAsia="Arial" w:hAnsi="Arial"/>
            <w:i/>
            <w:iCs/>
            <w:color w:val="1D4ED8"/>
            <w:sz w:val="24"/>
            <w:szCs w:val="24"/>
            <w:u w:val="single"/>
          </w:rPr>
          <w:t xml:space="preserve">30 июня 2021 года № 2021-П-12/36-3)</w:t>
        </w:r>
      </w:hyperlink>
    </w:p>
    <w:p>
      <w:pPr>
        <w:spacing w:after="60"/>
        <w:ind w:firstLine="567"/>
        <w:jc w:val="both"/>
      </w:pPr>
      <w:r>
        <w:rPr>
          <w:rFonts w:ascii="Arial" w:cs="Arial" w:eastAsia="Arial" w:hAnsi="Arial"/>
          <w:sz w:val="24"/>
          <w:szCs w:val="24"/>
        </w:rPr>
        <w:t xml:space="preserve">5. Требования настоящего Положения, а также других нормативных правовых актов Национального банка Кыргызской Республики (далее - Национальный банк) должны быть полностью отражены во внутренних документах банка, регулирующих управление кредитным риском.</w:t>
      </w:r>
    </w:p>
    <w:p>
      <w:pPr>
        <w:spacing w:after="200" w:before="200"/>
        <w:jc w:val="center"/>
      </w:pPr>
      <w:r>
        <w:rPr>
          <w:rFonts w:ascii="Arial" w:cs="Arial" w:eastAsia="Arial" w:hAnsi="Arial"/>
          <w:b/>
          <w:bCs/>
          <w:sz w:val="24"/>
          <w:szCs w:val="24"/>
        </w:rPr>
        <w:t xml:space="preserve">Глава 2
 Политика банка по осуществлению операций по исламским принципам финансирования и стратегия финансирования банка</w:t>
      </w:r>
    </w:p>
    <w:p>
      <w:pPr>
        <w:spacing w:after="200"/>
        <w:jc w:val="center"/>
      </w:pPr>
      <w:r>
        <w:rPr>
          <w:rFonts w:ascii="Arial" w:cs="Arial" w:eastAsia="Arial" w:hAnsi="Arial"/>
          <w:i/>
          <w:iCs/>
          <w:sz w:val="24"/>
          <w:szCs w:val="24"/>
        </w:rPr>
        <w:t xml:space="preserve">(Наименование главы
 в редакции </w:t>
      </w:r>
      <w:hyperlink w:history="1" r:id="rIdp95oabdv7kzyb_o601lr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6. Все виды продуктов и типовых договоров по исламским принципам финансирования, которые банк намерен осуществлять, должны быть первоначально одобрены Шариатским советом банка с точки зрения их соответствия стандартам Шариата.</w:t>
      </w:r>
    </w:p>
    <w:p>
      <w:pPr>
        <w:spacing w:after="60"/>
        <w:ind w:firstLine="567"/>
        <w:jc w:val="both"/>
      </w:pPr>
      <w:r>
        <w:rPr>
          <w:rFonts w:ascii="Arial" w:cs="Arial" w:eastAsia="Arial" w:hAnsi="Arial"/>
          <w:sz w:val="24"/>
          <w:szCs w:val="24"/>
        </w:rPr>
        <w:t xml:space="preserve">7. Операции банка по исламским принципам финансирования осуществляются в соответствии с его внутренней политикой, утверждаемой Советом директоров банка.</w:t>
      </w:r>
    </w:p>
    <w:p>
      <w:pPr>
        <w:spacing w:after="60"/>
        <w:ind w:firstLine="567"/>
        <w:jc w:val="both"/>
      </w:pPr>
      <w:r>
        <w:rPr>
          <w:rFonts w:ascii="Arial" w:cs="Arial" w:eastAsia="Arial" w:hAnsi="Arial"/>
          <w:sz w:val="24"/>
          <w:szCs w:val="24"/>
        </w:rPr>
        <w:t xml:space="preserve">Стратегия финансирования может быть включена в бизнес-план банка отдельным/дополнительным разделом.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u6fksphflu6q_ss4tomg">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Стратегия финансирования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финансирования и их общие характеристики, которые банк планирует достичь (в том числе уровень диверсификации, планируемые показатели при оценке качества портфеля финансирования и т.д.);</w:t>
      </w:r>
    </w:p>
    <w:p>
      <w:pPr>
        <w:spacing w:after="60"/>
        <w:ind w:firstLine="567"/>
        <w:jc w:val="both"/>
      </w:pPr>
      <w:r>
        <w:rPr>
          <w:rFonts w:ascii="Arial" w:cs="Arial" w:eastAsia="Arial" w:hAnsi="Arial"/>
          <w:sz w:val="24"/>
          <w:szCs w:val="24"/>
        </w:rPr>
        <w:t xml:space="preserve">- основные источники финансирования (банку необходимо указать источники финансирования, за счет каких средств планируется выдавать финансирование, увеличивать портфель финансирования);</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активов, несущих в себе кредитный риск,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портфеля финансирования, который будет осуществляться на основе действующего портфеля финансирования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актуальные адекватные экономические показатели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деятельность финансирования банка. Соответствующий персонал должен быть проинформирован о стратегии финансирования и обеспечивать ясность стратегии финансирования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w:t>
      </w:r>
      <w:hyperlink w:history="1" r:id="rIdfijsy_hwvns59p44xd5zi">
        <w:r>
          <w:rPr>
            <w:rFonts w:ascii="Arial" w:cs="Arial" w:eastAsia="Arial" w:hAnsi="Arial"/>
            <w:i/>
            <w:iCs/>
            <w:color w:val="1D4ED8"/>
            <w:sz w:val="24"/>
            <w:szCs w:val="24"/>
            <w:u w:val="single"/>
          </w:rPr>
          <w:t xml:space="preserve">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стратегии финансирования, и при необходимости вносит необходимые изменения.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q_bbhui0sxcuxjol_0i_">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0mkjpvmhiuq_k294hyzs">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Политика банка по осуществлению операций по исламским принципам финансирования (далее - Политика) определяет стратегию, критерии, параметры и процедуры, которыми обязаны руководствоваться сотрудники банка в деятельности по осуществлению, оформлению сделок, мониторингу и управлению рисками.</w:t>
      </w:r>
    </w:p>
    <w:p>
      <w:pPr>
        <w:spacing w:after="60"/>
        <w:ind w:firstLine="567"/>
        <w:jc w:val="both"/>
      </w:pPr>
      <w:r>
        <w:rPr>
          <w:rFonts w:ascii="Arial" w:cs="Arial" w:eastAsia="Arial" w:hAnsi="Arial"/>
          <w:sz w:val="24"/>
          <w:szCs w:val="24"/>
        </w:rPr>
        <w:t xml:space="preserve">Политика банка в том числе должна основываться на принципах ответственного финансирования: добросовестности, прозрачности, достоверности, партнерства по отношению к клиентам/партнерам, учета их экономических интересов и финансовых возможностей.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Политике должны быть отражены следующие положения, касающиеся выдачи активов, несущих в себе кредитный риск:</w:t>
      </w:r>
    </w:p>
    <w:p>
      <w:pPr>
        <w:spacing w:after="60"/>
        <w:ind w:firstLine="567"/>
        <w:jc w:val="both"/>
      </w:pPr>
      <w:r>
        <w:rPr>
          <w:rFonts w:ascii="Arial" w:cs="Arial" w:eastAsia="Arial" w:hAnsi="Arial"/>
          <w:sz w:val="24"/>
          <w:szCs w:val="24"/>
        </w:rPr>
        <w:t xml:space="preserve">1) общие положения, включая:</w:t>
      </w:r>
    </w:p>
    <w:p>
      <w:pPr>
        <w:spacing w:after="60"/>
        <w:ind w:firstLine="567"/>
        <w:jc w:val="both"/>
      </w:pPr>
      <w:r>
        <w:rPr>
          <w:rFonts w:ascii="Arial" w:cs="Arial" w:eastAsia="Arial" w:hAnsi="Arial"/>
          <w:sz w:val="24"/>
          <w:szCs w:val="24"/>
        </w:rPr>
        <w:t xml:space="preserve">- состав потенциальных клиентов/партнеров, включая ограничения по количеству инвесторов;</w:t>
      </w:r>
    </w:p>
    <w:p>
      <w:pPr>
        <w:spacing w:after="60"/>
        <w:ind w:firstLine="567"/>
        <w:jc w:val="both"/>
      </w:pPr>
      <w:r>
        <w:rPr>
          <w:rFonts w:ascii="Arial" w:cs="Arial" w:eastAsia="Arial" w:hAnsi="Arial"/>
          <w:sz w:val="24"/>
          <w:szCs w:val="24"/>
        </w:rPr>
        <w:t xml:space="preserve">- виды активов, несущих в себе кредитный риск, в зависимости от целей финансирования и других условий;</w:t>
      </w:r>
    </w:p>
    <w:p>
      <w:pPr>
        <w:spacing w:after="60"/>
        <w:ind w:firstLine="567"/>
        <w:jc w:val="both"/>
      </w:pPr>
      <w:r>
        <w:rPr>
          <w:rFonts w:ascii="Arial" w:cs="Arial" w:eastAsia="Arial" w:hAnsi="Arial"/>
          <w:sz w:val="24"/>
          <w:szCs w:val="24"/>
        </w:rPr>
        <w:t xml:space="preserve">- количественные пределы финансирования;</w:t>
      </w:r>
    </w:p>
    <w:p>
      <w:pPr>
        <w:spacing w:after="60"/>
        <w:ind w:firstLine="567"/>
        <w:jc w:val="both"/>
      </w:pPr>
      <w:r>
        <w:rPr>
          <w:rFonts w:ascii="Arial" w:cs="Arial" w:eastAsia="Arial" w:hAnsi="Arial"/>
          <w:sz w:val="24"/>
          <w:szCs w:val="24"/>
        </w:rPr>
        <w:t xml:space="preserve">- сроки финансирования;</w:t>
      </w:r>
    </w:p>
    <w:p>
      <w:pPr>
        <w:spacing w:after="60"/>
        <w:ind w:firstLine="567"/>
        <w:jc w:val="both"/>
      </w:pPr>
      <w:r>
        <w:rPr>
          <w:rFonts w:ascii="Arial" w:cs="Arial" w:eastAsia="Arial" w:hAnsi="Arial"/>
          <w:sz w:val="24"/>
          <w:szCs w:val="24"/>
        </w:rPr>
        <w:t xml:space="preserve">- критерии оценки платежеспособности клиентов/партнеров;</w:t>
      </w:r>
    </w:p>
    <w:p>
      <w:pPr>
        <w:spacing w:after="60"/>
        <w:ind w:firstLine="567"/>
        <w:jc w:val="both"/>
      </w:pPr>
      <w:r>
        <w:rPr>
          <w:rFonts w:ascii="Arial" w:cs="Arial" w:eastAsia="Arial" w:hAnsi="Arial"/>
          <w:sz w:val="24"/>
          <w:szCs w:val="24"/>
        </w:rPr>
        <w:t xml:space="preserve">- наценка/доход по активам, несущим в себе кредитный риск, и методы их расчета;</w:t>
      </w:r>
    </w:p>
    <w:p>
      <w:pPr>
        <w:spacing w:after="60"/>
        <w:ind w:firstLine="567"/>
        <w:jc w:val="both"/>
      </w:pPr>
      <w:r>
        <w:rPr>
          <w:rFonts w:ascii="Arial" w:cs="Arial" w:eastAsia="Arial" w:hAnsi="Arial"/>
          <w:sz w:val="24"/>
          <w:szCs w:val="24"/>
        </w:rPr>
        <w:t xml:space="preserve">- требования к финансовой информации клиентов/партнеров;</w:t>
      </w:r>
    </w:p>
    <w:p>
      <w:pPr>
        <w:spacing w:after="60"/>
        <w:ind w:firstLine="567"/>
        <w:jc w:val="both"/>
      </w:pPr>
      <w:r>
        <w:rPr>
          <w:rFonts w:ascii="Arial" w:cs="Arial" w:eastAsia="Arial" w:hAnsi="Arial"/>
          <w:sz w:val="24"/>
          <w:szCs w:val="24"/>
        </w:rPr>
        <w:t xml:space="preserve">- географические ограничения;</w:t>
      </w:r>
    </w:p>
    <w:p>
      <w:pPr>
        <w:spacing w:after="60"/>
        <w:ind w:firstLine="567"/>
        <w:jc w:val="both"/>
      </w:pPr>
      <w:r>
        <w:rPr>
          <w:rFonts w:ascii="Arial" w:cs="Arial" w:eastAsia="Arial" w:hAnsi="Arial"/>
          <w:sz w:val="24"/>
          <w:szCs w:val="24"/>
        </w:rPr>
        <w:t xml:space="preserve">- порядок установления валюты выдачи и ограничения;</w:t>
      </w:r>
    </w:p>
    <w:p>
      <w:pPr>
        <w:spacing w:after="60"/>
        <w:ind w:firstLine="567"/>
        <w:jc w:val="both"/>
      </w:pPr>
      <w:r>
        <w:rPr>
          <w:rFonts w:ascii="Arial" w:cs="Arial" w:eastAsia="Arial" w:hAnsi="Arial"/>
          <w:sz w:val="24"/>
          <w:szCs w:val="24"/>
        </w:rPr>
        <w:t xml:space="preserve">- предельная концентрация активов, несущих в себе кредитный риск (по группам клиентов/партнеров, географическому признаку, по отрасли, валюте и другим факторам);</w:t>
      </w:r>
    </w:p>
    <w:p>
      <w:pPr>
        <w:spacing w:after="60"/>
        <w:ind w:firstLine="567"/>
        <w:jc w:val="both"/>
      </w:pPr>
      <w:r>
        <w:rPr>
          <w:rFonts w:ascii="Arial" w:cs="Arial" w:eastAsia="Arial" w:hAnsi="Arial"/>
          <w:sz w:val="24"/>
          <w:szCs w:val="24"/>
        </w:rPr>
        <w:t xml:space="preserve">- ограничения по активам, несущим в себе кредитный риск, предоставляемым связанным с банком лицам и аффилированным лицам;</w:t>
      </w:r>
    </w:p>
    <w:p>
      <w:pPr>
        <w:spacing w:after="60"/>
        <w:ind w:firstLine="567"/>
        <w:jc w:val="both"/>
      </w:pPr>
      <w:r>
        <w:rPr>
          <w:rFonts w:ascii="Arial" w:cs="Arial" w:eastAsia="Arial" w:hAnsi="Arial"/>
          <w:sz w:val="24"/>
          <w:szCs w:val="24"/>
        </w:rPr>
        <w:t xml:space="preserve">- критерии оценки стоимости и приемлемости залога, в том числе по оценке рисков, связанных с тем, что предмет залога является единственным жильем клиента/партнера/залогодателя на момент оформления финансирования;</w:t>
      </w:r>
    </w:p>
    <w:p>
      <w:pPr>
        <w:spacing w:after="60"/>
        <w:ind w:firstLine="567"/>
        <w:jc w:val="both"/>
      </w:pPr>
      <w:r>
        <w:rPr>
          <w:rFonts w:ascii="Arial" w:cs="Arial" w:eastAsia="Arial" w:hAnsi="Arial"/>
          <w:sz w:val="24"/>
          <w:szCs w:val="24"/>
        </w:rPr>
        <w:t xml:space="preserve">- порядок осуществления контроля за соблюдением процедуры подготовки к предоставлению активов, несущих в себе кредитный риск;</w:t>
      </w:r>
    </w:p>
    <w:p>
      <w:pPr>
        <w:spacing w:after="60"/>
        <w:ind w:firstLine="567"/>
        <w:jc w:val="both"/>
      </w:pPr>
      <w:r>
        <w:rPr>
          <w:rFonts w:ascii="Arial" w:cs="Arial" w:eastAsia="Arial" w:hAnsi="Arial"/>
          <w:sz w:val="24"/>
          <w:szCs w:val="24"/>
        </w:rPr>
        <w:t xml:space="preserve">- требования по выдаче банком гарантийных писем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соотношение максимального портфеля финансирования к активам;</w:t>
      </w:r>
    </w:p>
    <w:p>
      <w:pPr>
        <w:spacing w:after="60"/>
        <w:ind w:firstLine="567"/>
        <w:jc w:val="both"/>
      </w:pPr>
      <w:r>
        <w:rPr>
          <w:rFonts w:ascii="Arial" w:cs="Arial" w:eastAsia="Arial" w:hAnsi="Arial"/>
          <w:sz w:val="24"/>
          <w:szCs w:val="24"/>
        </w:rPr>
        <w:t xml:space="preserve">- предельный удельный вес каждого вида актива в портфеле финансирования;</w:t>
      </w:r>
    </w:p>
    <w:p>
      <w:pPr>
        <w:spacing w:after="60"/>
        <w:ind w:firstLine="567"/>
        <w:jc w:val="both"/>
      </w:pPr>
      <w:r>
        <w:rPr>
          <w:rFonts w:ascii="Arial" w:cs="Arial" w:eastAsia="Arial" w:hAnsi="Arial"/>
          <w:sz w:val="24"/>
          <w:szCs w:val="24"/>
        </w:rPr>
        <w:t xml:space="preserve">- другое;</w:t>
      </w:r>
    </w:p>
    <w:p>
      <w:pPr>
        <w:spacing w:after="60"/>
        <w:ind w:firstLine="567"/>
        <w:jc w:val="both"/>
      </w:pPr>
      <w:r>
        <w:rPr>
          <w:rFonts w:ascii="Arial" w:cs="Arial" w:eastAsia="Arial" w:hAnsi="Arial"/>
          <w:sz w:val="24"/>
          <w:szCs w:val="24"/>
        </w:rPr>
        <w:t xml:space="preserve">2) порядок оформления активов, несущих в себе кредитный риск, в том числе:</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предоставления активов, несущих в себе кредитный риск;</w:t>
      </w:r>
    </w:p>
    <w:p>
      <w:pPr>
        <w:spacing w:after="60"/>
        <w:ind w:firstLine="567"/>
        <w:jc w:val="both"/>
      </w:pPr>
      <w:r>
        <w:rPr>
          <w:rFonts w:ascii="Arial" w:cs="Arial" w:eastAsia="Arial" w:hAnsi="Arial"/>
          <w:sz w:val="24"/>
          <w:szCs w:val="24"/>
        </w:rPr>
        <w:t xml:space="preserve">- порядок одобрения активов, несущих в себе кредитный риск;</w:t>
      </w:r>
    </w:p>
    <w:p>
      <w:pPr>
        <w:spacing w:after="60"/>
        <w:ind w:firstLine="567"/>
        <w:jc w:val="both"/>
      </w:pPr>
      <w:r>
        <w:rPr>
          <w:rFonts w:ascii="Arial" w:cs="Arial" w:eastAsia="Arial" w:hAnsi="Arial"/>
          <w:sz w:val="24"/>
          <w:szCs w:val="24"/>
        </w:rPr>
        <w:t xml:space="preserve">- требования к финансовому анализу;</w:t>
      </w:r>
    </w:p>
    <w:p>
      <w:pPr>
        <w:spacing w:after="60"/>
        <w:ind w:firstLine="567"/>
        <w:jc w:val="both"/>
      </w:pPr>
      <w:r>
        <w:rPr>
          <w:rFonts w:ascii="Arial" w:cs="Arial" w:eastAsia="Arial" w:hAnsi="Arial"/>
          <w:sz w:val="24"/>
          <w:szCs w:val="24"/>
        </w:rPr>
        <w:t xml:space="preserve">- требования к залогу и документации (виды залога, отношение залога к активу, несущему в себе кредитный риск, оценка рыночной стоимости и его местонахождение);</w:t>
      </w:r>
    </w:p>
    <w:p>
      <w:pPr>
        <w:spacing w:after="60"/>
        <w:ind w:firstLine="567"/>
        <w:jc w:val="both"/>
      </w:pPr>
      <w:r>
        <w:rPr>
          <w:rFonts w:ascii="Arial" w:cs="Arial" w:eastAsia="Arial" w:hAnsi="Arial"/>
          <w:sz w:val="24"/>
          <w:szCs w:val="24"/>
        </w:rPr>
        <w:t xml:space="preserve">- порядок контроля за правильностью оформления активов, несущих в себе кредитный риск;</w:t>
      </w:r>
    </w:p>
    <w:p>
      <w:pPr>
        <w:spacing w:after="60"/>
        <w:ind w:firstLine="567"/>
        <w:jc w:val="both"/>
      </w:pPr>
      <w:r>
        <w:rPr>
          <w:rFonts w:ascii="Arial" w:cs="Arial" w:eastAsia="Arial" w:hAnsi="Arial"/>
          <w:sz w:val="24"/>
          <w:szCs w:val="24"/>
        </w:rPr>
        <w:t xml:space="preserve">3) требования по управлению активами, несущими в себе кредитный риск, включая:</w:t>
      </w:r>
    </w:p>
    <w:p>
      <w:pPr>
        <w:spacing w:after="60"/>
        <w:ind w:firstLine="567"/>
        <w:jc w:val="both"/>
      </w:pPr>
      <w:r>
        <w:rPr>
          <w:rFonts w:ascii="Arial" w:cs="Arial" w:eastAsia="Arial" w:hAnsi="Arial"/>
          <w:sz w:val="24"/>
          <w:szCs w:val="24"/>
        </w:rPr>
        <w:t xml:space="preserve">- порядок управления активами, несущими в себе кредитный риск;</w:t>
      </w:r>
    </w:p>
    <w:p>
      <w:pPr>
        <w:spacing w:after="60"/>
        <w:ind w:firstLine="567"/>
        <w:jc w:val="both"/>
      </w:pPr>
      <w:r>
        <w:rPr>
          <w:rFonts w:ascii="Arial" w:cs="Arial" w:eastAsia="Arial" w:hAnsi="Arial"/>
          <w:sz w:val="24"/>
          <w:szCs w:val="24"/>
        </w:rPr>
        <w:t xml:space="preserve">- требование к ведению адекватного досье клиента/партнера;</w:t>
      </w:r>
    </w:p>
    <w:p>
      <w:pPr>
        <w:spacing w:after="60"/>
        <w:ind w:firstLine="567"/>
        <w:jc w:val="both"/>
      </w:pPr>
      <w:r>
        <w:rPr>
          <w:rFonts w:ascii="Arial" w:cs="Arial" w:eastAsia="Arial" w:hAnsi="Arial"/>
          <w:sz w:val="24"/>
          <w:szCs w:val="24"/>
        </w:rPr>
        <w:t xml:space="preserve">- организация контроля за исполнением договоров;</w:t>
      </w:r>
    </w:p>
    <w:p>
      <w:pPr>
        <w:spacing w:after="60"/>
        <w:ind w:firstLine="567"/>
        <w:jc w:val="both"/>
      </w:pPr>
      <w:r>
        <w:rPr>
          <w:rFonts w:ascii="Arial" w:cs="Arial" w:eastAsia="Arial" w:hAnsi="Arial"/>
          <w:sz w:val="24"/>
          <w:szCs w:val="24"/>
        </w:rPr>
        <w:t xml:space="preserve">- периодичность мониторинга залога;</w:t>
      </w:r>
    </w:p>
    <w:p>
      <w:pPr>
        <w:spacing w:after="60"/>
        <w:ind w:firstLine="567"/>
        <w:jc w:val="both"/>
      </w:pPr>
      <w:r>
        <w:rPr>
          <w:rFonts w:ascii="Arial" w:cs="Arial" w:eastAsia="Arial" w:hAnsi="Arial"/>
          <w:sz w:val="24"/>
          <w:szCs w:val="24"/>
        </w:rPr>
        <w:t xml:space="preserve">- условия продления или возобновления просроченных активов, несущих в себе кредитный риск;</w:t>
      </w:r>
    </w:p>
    <w:p>
      <w:pPr>
        <w:spacing w:after="60"/>
        <w:ind w:firstLine="567"/>
        <w:jc w:val="both"/>
      </w:pPr>
      <w:r>
        <w:rPr>
          <w:rFonts w:ascii="Arial" w:cs="Arial" w:eastAsia="Arial" w:hAnsi="Arial"/>
          <w:sz w:val="24"/>
          <w:szCs w:val="24"/>
        </w:rPr>
        <w:t xml:space="preserve">- требования к классификации и формированию резерва на покрытие потенциальных потерь и убытков (РППУ);</w:t>
      </w:r>
    </w:p>
    <w:p>
      <w:pPr>
        <w:spacing w:after="60"/>
        <w:ind w:firstLine="567"/>
        <w:jc w:val="both"/>
      </w:pPr>
      <w:r>
        <w:rPr>
          <w:rFonts w:ascii="Arial" w:cs="Arial" w:eastAsia="Arial" w:hAnsi="Arial"/>
          <w:sz w:val="24"/>
          <w:szCs w:val="24"/>
        </w:rPr>
        <w:t xml:space="preserve">- процесс независимой оценки активов, несущих в себе кредитный риск;</w:t>
      </w:r>
    </w:p>
    <w:p>
      <w:pPr>
        <w:spacing w:after="60"/>
        <w:ind w:firstLine="567"/>
        <w:jc w:val="both"/>
      </w:pPr>
      <w:r>
        <w:rPr>
          <w:rFonts w:ascii="Arial" w:cs="Arial" w:eastAsia="Arial" w:hAnsi="Arial"/>
          <w:sz w:val="24"/>
          <w:szCs w:val="24"/>
        </w:rPr>
        <w:t xml:space="preserve">- требования к информационным системам (отчетности);</w:t>
      </w:r>
    </w:p>
    <w:p>
      <w:pPr>
        <w:spacing w:after="60"/>
        <w:ind w:firstLine="567"/>
        <w:jc w:val="both"/>
      </w:pPr>
      <w:r>
        <w:rPr>
          <w:rFonts w:ascii="Arial" w:cs="Arial" w:eastAsia="Arial" w:hAnsi="Arial"/>
          <w:sz w:val="24"/>
          <w:szCs w:val="24"/>
        </w:rPr>
        <w:t xml:space="preserve">- требования к организации контроля за управлением активом, несущим в себе кредитный риск;</w:t>
      </w:r>
    </w:p>
    <w:p>
      <w:pPr>
        <w:spacing w:after="60"/>
        <w:ind w:firstLine="567"/>
        <w:jc w:val="both"/>
      </w:pPr>
      <w:r>
        <w:rPr>
          <w:rFonts w:ascii="Arial" w:cs="Arial" w:eastAsia="Arial" w:hAnsi="Arial"/>
          <w:sz w:val="24"/>
          <w:szCs w:val="24"/>
        </w:rPr>
        <w:t xml:space="preserve">- требования к проведению стресс-тестирования для оценки потенциальных убытков, связанных с кредитным риском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разделение полномочий по предоставлению активов, несущих в себе кредитный риск, с указанием максимальной суммы и вида актива, несущего в себе кредитный риск. Право предоставления активов, несущих в себе кредитный риск, и принятия забалансовых обязательств банка должно быть разделено на несколько уровней должностных лиц, которые несут ответственность в соответствии с законодательством Кыргызской Республики за нарушения, допущенные при финансировании;</w:t>
      </w:r>
    </w:p>
    <w:p>
      <w:pPr>
        <w:spacing w:after="60"/>
        <w:ind w:firstLine="567"/>
        <w:jc w:val="both"/>
      </w:pPr>
      <w:r>
        <w:rPr>
          <w:rFonts w:ascii="Arial" w:cs="Arial" w:eastAsia="Arial" w:hAnsi="Arial"/>
          <w:sz w:val="24"/>
          <w:szCs w:val="24"/>
        </w:rPr>
        <w:t xml:space="preserve">5) обязанности по передаче прав и обмену информацией между структурными подразделениями, участвующими в процессе финансирования;</w:t>
      </w:r>
    </w:p>
    <w:p>
      <w:pPr>
        <w:spacing w:after="60"/>
        <w:ind w:firstLine="567"/>
        <w:jc w:val="both"/>
      </w:pPr>
      <w:r>
        <w:rPr>
          <w:rFonts w:ascii="Arial" w:cs="Arial" w:eastAsia="Arial" w:hAnsi="Arial"/>
          <w:sz w:val="24"/>
          <w:szCs w:val="24"/>
        </w:rPr>
        <w:t xml:space="preserve">6) порядок оценки рисков по новым банковским продуктам. Риски по всем новым продуктам должны быть выявлены, оценены и находиться под контролем до вхождения банка в рынок таких продуктов;</w:t>
      </w:r>
    </w:p>
    <w:p>
      <w:pPr>
        <w:spacing w:after="60"/>
        <w:ind w:firstLine="567"/>
        <w:jc w:val="both"/>
      </w:pPr>
      <w:r>
        <w:rPr>
          <w:rFonts w:ascii="Arial" w:cs="Arial" w:eastAsia="Arial" w:hAnsi="Arial"/>
          <w:sz w:val="24"/>
          <w:szCs w:val="24"/>
        </w:rPr>
        <w:t xml:space="preserve">7) порядок выявления, анализа и разрешения ситуаций, связанных с "проблемными" активами, несущими в себе кредитный риск;</w:t>
      </w:r>
    </w:p>
    <w:p>
      <w:pPr>
        <w:spacing w:after="60"/>
        <w:ind w:firstLine="567"/>
        <w:jc w:val="both"/>
      </w:pPr>
      <w:r>
        <w:rPr>
          <w:rFonts w:ascii="Arial" w:cs="Arial" w:eastAsia="Arial" w:hAnsi="Arial"/>
          <w:sz w:val="24"/>
          <w:szCs w:val="24"/>
        </w:rPr>
        <w:t xml:space="preserve">8) принципы ответственного финансирования, содержащие требования по разработке и внедрению системы оценки и отчетности, направленные на предотвращение перекредитованности (когда у клиента/партнера имеются параллельные обязательства, в том числе в более чем в одной финансово-кредитной организации (далее - ФКО), в связи с чем долговая нагрузка клиента/партнера может превысить возможности клиента/партнера обслуживать его обязательства).</w:t>
      </w:r>
    </w:p>
    <w:p>
      <w:pPr>
        <w:spacing w:after="60"/>
        <w:ind w:firstLine="567"/>
        <w:jc w:val="both"/>
      </w:pPr>
      <w:r>
        <w:rPr>
          <w:rFonts w:ascii="Arial" w:cs="Arial" w:eastAsia="Arial" w:hAnsi="Arial"/>
          <w:sz w:val="24"/>
          <w:szCs w:val="24"/>
        </w:rPr>
        <w:t xml:space="preserve">В пределах требований, установленных законодательством Кыргызской Республики, включая нормативные правовые акты Национального банка, банк самостоятельно определяет круг будущих клиентов, виды активов, несущих в себе кредитный риск, и устанавливает наценку/доход по активам, несущим в себе кредитный риск.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Четкая и детальная Политика банка должна способствовать ведению правильной работы с активами, несущими в себе кредитный риск, и обеспечивать прибыльность работы банка.</w:t>
      </w:r>
    </w:p>
    <w:p>
      <w:pPr>
        <w:spacing w:after="60"/>
        <w:ind w:firstLine="567"/>
        <w:jc w:val="both"/>
      </w:pPr>
      <w:r>
        <w:rPr>
          <w:rFonts w:ascii="Arial" w:cs="Arial" w:eastAsia="Arial" w:hAnsi="Arial"/>
          <w:sz w:val="24"/>
          <w:szCs w:val="24"/>
        </w:rPr>
        <w:t xml:space="preserve">11. Правление банка несет ответственность за исполнение Политики и стратегии финансирования банка, для чего обязано обеспечить разработку и исполнение в процессе деятельности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pPr>
        <w:spacing w:after="60"/>
        <w:ind w:firstLine="567"/>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hyperlink w:history="1" r:id="rIdd07qc8fonrbovoaanqnyy">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Совет директоров банка обязан пересматривать Политику банка на ее адекватность, системы лимитов, инструментов и процедур управления кредитным риском, систему внутреннего аудита по управлению кредитными рисками, а также при необходимости, по мере изменений в профиле риска банка, нормативных правовых актах Национального банка, организационной структуре и кадровом составе банка, оказывающих влияние на процесс финансирования, в том числе изменений, происходящих в экономике республики и странах, где есть деловые связи у банка и его клиентов/партнеров, влияющих на процесс финансирования, но не реже чем один раз в год.</w:t>
      </w:r>
    </w:p>
    <w:p>
      <w:pPr>
        <w:spacing w:after="60"/>
        <w:ind w:firstLine="567"/>
        <w:jc w:val="both"/>
      </w:pPr>
      <w:r>
        <w:rPr>
          <w:rFonts w:ascii="Arial" w:cs="Arial" w:eastAsia="Arial" w:hAnsi="Arial"/>
          <w:sz w:val="24"/>
          <w:szCs w:val="24"/>
        </w:rPr>
        <w:t xml:space="preserve">Все вопросы, касающиеся выдачи активов, несущих в себе кредитный риск, должны решаться только Комитетом банка по финансированию либо лицами, которым комитет в соответствии с нормативными правовыми актами вправе делегировать данное право, за исключением вопросов, относящихся к компетенции совета директоров банка.</w:t>
      </w:r>
    </w:p>
    <w:p>
      <w:pPr>
        <w:spacing w:after="60"/>
        <w:ind w:firstLine="567"/>
        <w:jc w:val="both"/>
      </w:pPr>
      <w:r>
        <w:rPr>
          <w:rFonts w:ascii="Arial" w:cs="Arial" w:eastAsia="Arial" w:hAnsi="Arial"/>
          <w:sz w:val="24"/>
          <w:szCs w:val="24"/>
        </w:rPr>
        <w:t xml:space="preserve">Право выдачи активов, несущих в себе кредитный риск,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финансировании.</w:t>
      </w:r>
    </w:p>
    <w:p>
      <w:pPr>
        <w:spacing w:after="60"/>
        <w:ind w:firstLine="567"/>
        <w:jc w:val="both"/>
      </w:pPr>
      <w:r>
        <w:rPr>
          <w:rFonts w:ascii="Arial" w:cs="Arial" w:eastAsia="Arial" w:hAnsi="Arial"/>
          <w:sz w:val="24"/>
          <w:szCs w:val="24"/>
        </w:rPr>
        <w:t xml:space="preserve">Выдача активов, несущих крупный риск, и активов, несущих в себе кредитный риск, связанным с банком лицам/аффилированным лицам банка должна быть одобрена советом директоров банка и соответствовать требованиям нормативных правовых актов Национального банка. Совет директоров банка несет ответственность за одобрение решений о выдаче активов, несущих крупный риск, активов, несущих в себе кредитный риск, связанным с банком лицам/аффилированным лицам банка, трансграничных активов, включая активы, обеспеченные залогом,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pPr>
        <w:spacing w:after="60"/>
        <w:ind w:firstLine="567"/>
        <w:jc w:val="both"/>
      </w:pPr>
      <w:r>
        <w:rPr>
          <w:rFonts w:ascii="Arial" w:cs="Arial" w:eastAsia="Arial" w:hAnsi="Arial"/>
          <w:sz w:val="24"/>
          <w:szCs w:val="24"/>
        </w:rPr>
        <w:t xml:space="preserve">Одобрение совета директоров банка требуется также в случаях, если залог, находящийся за пределами Кыргызской Республики, выступает обеспечением по активу, несущему в себе кредитный риск более чем на 20% от суммы актива, несущего в себе кредитный риск. При этом под стоимостью залога понимается его ликвидационная стоимость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Кроме того, в политике финансирования должны быть прописаны полномочия Комитета по финансированию и/или Правления по списанию и реструктуризации финансирования с указанием ограничений.</w:t>
      </w:r>
    </w:p>
    <w:p>
      <w:pPr>
        <w:spacing w:after="60"/>
        <w:ind w:firstLine="567"/>
        <w:jc w:val="both"/>
      </w:pPr>
      <w:r>
        <w:rPr>
          <w:rFonts w:ascii="Arial" w:cs="Arial" w:eastAsia="Arial" w:hAnsi="Arial"/>
          <w:sz w:val="24"/>
          <w:szCs w:val="24"/>
        </w:rPr>
        <w:t xml:space="preserve">Политика финансирования банка также должна содержать методики по оценке платежеспособности клиентов/партнеров. Для этих целей банк может разработать систему внутреннего рейтинга рисков по управлению кредитным риском. Система внутреннего рейтинга рисков должна соответствовать природе, размерам и сложности осуществляемых видов деятельности банка.</w:t>
      </w:r>
    </w:p>
    <w:p>
      <w:pPr>
        <w:spacing w:after="60"/>
        <w:ind w:firstLine="567"/>
        <w:jc w:val="both"/>
      </w:pPr>
      <w:r>
        <w:rPr>
          <w:rFonts w:ascii="Arial" w:cs="Arial" w:eastAsia="Arial" w:hAnsi="Arial"/>
          <w:sz w:val="24"/>
          <w:szCs w:val="24"/>
        </w:rPr>
        <w:t xml:space="preserve">Кроме того, банк обязан постоянно вести базу данных и журнал учета активов, несущих в себе кредитный риск, по которым при выдаче принимались нестандартные решения (индивидуальные наценки, структура залога и другое).</w:t>
      </w:r>
    </w:p>
    <w:p>
      <w:pPr>
        <w:spacing w:after="60"/>
        <w:ind w:firstLine="567"/>
        <w:jc w:val="both"/>
      </w:pPr>
      <w:r>
        <w:rPr>
          <w:rFonts w:ascii="Arial" w:cs="Arial" w:eastAsia="Arial" w:hAnsi="Arial"/>
          <w:sz w:val="24"/>
          <w:szCs w:val="24"/>
        </w:rPr>
        <w:t xml:space="preserve">Система внутреннего рейтинга рисков по управлению кредитным риском должна содержать комплексную оценку финансового состояния клиента/партнера, как основного показателя его будущей платежеспособности, и должна отражать раскрытие данных о клиентах/партнерах, указанных в § 1 и § 2 настоящего Положения.</w:t>
      </w:r>
    </w:p>
    <w:p>
      <w:pPr>
        <w:spacing w:after="60"/>
        <w:ind w:firstLine="567"/>
        <w:jc w:val="both"/>
      </w:pPr>
      <w:r>
        <w:rPr>
          <w:rFonts w:ascii="Arial" w:cs="Arial" w:eastAsia="Arial" w:hAnsi="Arial"/>
          <w:sz w:val="24"/>
          <w:szCs w:val="24"/>
        </w:rPr>
        <w:t xml:space="preserve">Рейтинг рисков по управлению кредитным риском - основной показатель качества актива, несущий в себе кредитный риск. Рейтинг рисков должен присваиваться на первоначальной стадии одобрения выдачи актива, несущего в себе кредитный риск, а также может присваиваться при последующем мониторинге актива, его продлении либо изменении условий договора финансирования или реструктуризации активов, несущих в себе кредитный риск. Разработанные рейтинги рисков, определяющие платежеспособность клиентов/партнеров, устанавливаются в виде алфавитных, числовых или альфа-числовых символов, которые указывают на риски при выдаче банком активов, несущих в себе кредитный риск. Банк присваивает рейтинг рисков с учетом определенных характеристик, связанных с клиентом/партнером и самим активом, несущим в себе кредитный риск.</w:t>
      </w:r>
    </w:p>
    <w:p>
      <w:pPr>
        <w:spacing w:after="60"/>
        <w:ind w:firstLine="567"/>
        <w:jc w:val="both"/>
      </w:pPr>
      <w:r>
        <w:rPr>
          <w:rFonts w:ascii="Arial" w:cs="Arial" w:eastAsia="Arial" w:hAnsi="Arial"/>
          <w:sz w:val="24"/>
          <w:szCs w:val="24"/>
        </w:rPr>
        <w:t xml:space="preserve">Подходы к анализу платежеспособности клиентов/партнеров при определении рейтинга рисков могут основываться на различных методах:</w:t>
      </w:r>
    </w:p>
    <w:p>
      <w:pPr>
        <w:spacing w:after="60"/>
        <w:ind w:firstLine="567"/>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рейтинг рисков (метод коэффициентов, рейтинговые модели, скоринговые модели);</w:t>
      </w:r>
    </w:p>
    <w:p>
      <w:pPr>
        <w:spacing w:after="60"/>
        <w:ind w:firstLine="567"/>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актива клиента/партнера, несущего в себе кредитный риск, и вероятность его неплатежеспособности;</w:t>
      </w:r>
    </w:p>
    <w:p>
      <w:pPr>
        <w:spacing w:after="60"/>
        <w:ind w:firstLine="567"/>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60"/>
        <w:ind w:firstLine="567"/>
        <w:jc w:val="both"/>
      </w:pPr>
      <w:r>
        <w:rPr>
          <w:rFonts w:ascii="Arial" w:cs="Arial" w:eastAsia="Arial" w:hAnsi="Arial"/>
          <w:sz w:val="24"/>
          <w:szCs w:val="24"/>
        </w:rPr>
        <w:t xml:space="preserve">Банк в целях проведения эффективной оценки платежеспособности клиента/партнера при выдаче актива, несущего в себе кредитный риск, может разработать собственную модель, которая должна состоять из подходов, наиболее отвечающих требованиям к оценке клиентов/партнеров и активов, несущих в себе кредитный риск, предоставляемых банком. За основу могут быть взяты:</w:t>
      </w:r>
    </w:p>
    <w:p>
      <w:pPr>
        <w:spacing w:after="60"/>
        <w:ind w:firstLine="567"/>
        <w:jc w:val="both"/>
      </w:pPr>
      <w:r>
        <w:rPr>
          <w:rFonts w:ascii="Arial" w:cs="Arial" w:eastAsia="Arial" w:hAnsi="Arial"/>
          <w:sz w:val="24"/>
          <w:szCs w:val="24"/>
        </w:rPr>
        <w:t xml:space="preserve">- метод коэффициентов, позволяющий комплексно оценивать финансовое состояние клиентов/партнеров и качество активов, несущих в себе кредитный риск;</w:t>
      </w:r>
    </w:p>
    <w:p>
      <w:pPr>
        <w:spacing w:after="60"/>
        <w:ind w:firstLine="567"/>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60"/>
        <w:ind w:firstLine="567"/>
        <w:jc w:val="both"/>
      </w:pPr>
      <w:r>
        <w:rPr>
          <w:rFonts w:ascii="Arial" w:cs="Arial" w:eastAsia="Arial" w:hAnsi="Arial"/>
          <w:sz w:val="24"/>
          <w:szCs w:val="24"/>
        </w:rPr>
        <w:t xml:space="preserve">- скоринговую модель - оценку платежеспособности в балльном эквиваленте путем отнесения клиента/партнера к определенной группе;</w:t>
      </w:r>
    </w:p>
    <w:p>
      <w:pPr>
        <w:spacing w:after="60"/>
        <w:ind w:firstLine="567"/>
        <w:jc w:val="both"/>
      </w:pPr>
      <w:r>
        <w:rPr>
          <w:rFonts w:ascii="Arial" w:cs="Arial" w:eastAsia="Arial" w:hAnsi="Arial"/>
          <w:sz w:val="24"/>
          <w:szCs w:val="24"/>
        </w:rPr>
        <w:t xml:space="preserve">- модель, основанную на оценке будущих денежных потоков с обязательствами клиента/партнера;</w:t>
      </w:r>
    </w:p>
    <w:p>
      <w:pPr>
        <w:spacing w:after="60"/>
        <w:ind w:firstLine="567"/>
        <w:jc w:val="both"/>
      </w:pPr>
      <w:r>
        <w:rPr>
          <w:rFonts w:ascii="Arial" w:cs="Arial" w:eastAsia="Arial" w:hAnsi="Arial"/>
          <w:sz w:val="24"/>
          <w:szCs w:val="24"/>
        </w:rPr>
        <w:t xml:space="preserve">- модель с использованием статистики прошлых лет и др.</w:t>
      </w:r>
    </w:p>
    <w:p>
      <w:pPr>
        <w:spacing w:after="60"/>
        <w:ind w:firstLine="567"/>
        <w:jc w:val="both"/>
      </w:pPr>
      <w:r>
        <w:rPr>
          <w:rFonts w:ascii="Arial" w:cs="Arial" w:eastAsia="Arial" w:hAnsi="Arial"/>
          <w:sz w:val="24"/>
          <w:szCs w:val="24"/>
        </w:rPr>
        <w:t xml:space="preserve">Система внутреннего рейтинга рисков может использоваться для принятия решения о выдаче финансирования; определения стоимости финансирования;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финансирования, согласно шкале кредитного рейтинга, а также определения предыдущего положения и возможного будущего движения финансирования по шкале кредитного рейтинга; оценки общих рисков и тенденции в портфеле финансирования; внесения изменений в стратегию финансирования банка.</w:t>
      </w:r>
    </w:p>
    <w:p>
      <w:pPr>
        <w:spacing w:after="60"/>
        <w:ind w:firstLine="567"/>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активов, несущих кредитный риск, по показателям кредитного рейтинга с течением времени, что может позволить банкам оценивать свой кредитный риск более точно.</w:t>
      </w:r>
    </w:p>
    <w:p>
      <w:pPr>
        <w:spacing w:after="60"/>
        <w:ind w:firstLine="567"/>
        <w:jc w:val="both"/>
      </w:pPr>
      <w:r>
        <w:rPr>
          <w:rFonts w:ascii="Arial" w:cs="Arial" w:eastAsia="Arial" w:hAnsi="Arial"/>
          <w:sz w:val="24"/>
          <w:szCs w:val="24"/>
        </w:rPr>
        <w:t xml:space="preserve">Система внутреннего рейтинга рисков в банке должна содержать распределение полномочий по:</w:t>
      </w:r>
    </w:p>
    <w:p>
      <w:pPr>
        <w:spacing w:after="60"/>
        <w:ind w:firstLine="567"/>
        <w:jc w:val="both"/>
      </w:pPr>
      <w:r>
        <w:rPr>
          <w:rFonts w:ascii="Arial" w:cs="Arial" w:eastAsia="Arial" w:hAnsi="Arial"/>
          <w:sz w:val="24"/>
          <w:szCs w:val="24"/>
        </w:rPr>
        <w:t xml:space="preserve">- присвоению первоначального рейтинга клиенту/партнеру (при поступлении заявки на финансирование);</w:t>
      </w:r>
    </w:p>
    <w:p>
      <w:pPr>
        <w:spacing w:after="60"/>
        <w:ind w:firstLine="567"/>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60"/>
        <w:ind w:firstLine="567"/>
        <w:jc w:val="both"/>
      </w:pPr>
      <w:r>
        <w:rPr>
          <w:rFonts w:ascii="Arial" w:cs="Arial" w:eastAsia="Arial" w:hAnsi="Arial"/>
          <w:sz w:val="24"/>
          <w:szCs w:val="24"/>
        </w:rPr>
        <w:t xml:space="preserve">- окончательному одобрению выдачи финансирования.</w:t>
      </w:r>
    </w:p>
    <w:p>
      <w:pPr>
        <w:spacing w:after="60"/>
        <w:ind w:firstLine="567"/>
        <w:jc w:val="both"/>
      </w:pPr>
      <w:r>
        <w:rPr>
          <w:rFonts w:ascii="Arial" w:cs="Arial" w:eastAsia="Arial" w:hAnsi="Arial"/>
          <w:sz w:val="24"/>
          <w:szCs w:val="24"/>
        </w:rPr>
        <w:t xml:space="preserve">Решение по выдаче финансирования, согласно рейтингу рисков, принимается по финансированию физических лиц и индивидуальных предпринимателей в сумме до 100000 сомов.</w:t>
      </w:r>
    </w:p>
    <w:p>
      <w:pPr>
        <w:spacing w:after="60"/>
        <w:ind w:firstLine="567"/>
        <w:jc w:val="both"/>
      </w:pPr>
      <w:r>
        <w:rPr>
          <w:rFonts w:ascii="Arial" w:cs="Arial" w:eastAsia="Arial" w:hAnsi="Arial"/>
          <w:sz w:val="24"/>
          <w:szCs w:val="24"/>
        </w:rPr>
        <w:t xml:space="preserve">В дальнейшем по активам, несущим кредитный риск и выданным физическим лицам и индивидуальным предпринимателям в сумме до 100000 сомов, необходимо периодически проводить платежный мониторинг с периодичностью, согласно настоящему Положению, а также анализ присвоенных рейтингов рисков в целях мониторинга исполнения обязательств и выработки рекомендаций о внесении изменений в рейтинг, если необходимо.</w:t>
      </w:r>
    </w:p>
    <w:p>
      <w:pPr>
        <w:spacing w:after="60"/>
        <w:ind w:firstLine="567"/>
        <w:jc w:val="both"/>
      </w:pPr>
      <w:r>
        <w:rPr>
          <w:rFonts w:ascii="Arial" w:cs="Arial" w:eastAsia="Arial" w:hAnsi="Arial"/>
          <w:sz w:val="24"/>
          <w:szCs w:val="24"/>
        </w:rPr>
        <w:t xml:space="preserve">Во внутренних политиках банка должны быть требования по проверке фактов, свидетельствующих о том, что предмет залога является единственным жильем клиента/партнера/залогодателя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клиента/партнера/залогодателя,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w:t>
      </w:r>
      <w:hyperlink w:history="1" r:id="rIdqwsmb__o0we7v42sa2eqd">
        <w:r>
          <w:rPr>
            <w:rFonts w:ascii="Arial" w:cs="Arial" w:eastAsia="Arial" w:hAnsi="Arial"/>
            <w:i/>
            <w:iCs/>
            <w:color w:val="1D4ED8"/>
            <w:sz w:val="24"/>
            <w:szCs w:val="24"/>
            <w:u w:val="single"/>
          </w:rPr>
          <w:t xml:space="preserve">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Внутренний аудит системы внутреннего рейтинга рисков по управлению кредитным риском должен проводиться ежегодно для определения соответствия деятельности банка по финансированию стратегии финансирования, политике банка и выявления недостатков в процессе управления кредитным риском, в политике финансирования и в процедурах по финансированию.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активов, несущих в себе кредитный риск/активов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 в Комитет по аудиту.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jv185elw4qkofs0stymb">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12-2. Банк должен обеспечивать периодическое обучение сотрудников банка, вовлеченных в процессы финансирования и мониторинга, по вопросам анализа и оценки платежеспособности клиентов/партнеров, с учетом внедренной в банке политики по оценке платежеспособности клиентов/партнеров, работы с проблемными активами, несущими в себе кредитный риск, а также по другим вопросам финансирования, в том числе коммуникации с клиентами/партнерами, и по другим требованиям законодательства Кыргызской Республики и принципам ответственного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Роль Шариатского совета</w:t>
      </w:r>
    </w:p>
    <w:p>
      <w:pPr>
        <w:spacing w:after="60"/>
        <w:ind w:firstLine="567"/>
        <w:jc w:val="both"/>
      </w:pPr>
      <w:r>
        <w:rPr>
          <w:rFonts w:ascii="Arial" w:cs="Arial" w:eastAsia="Arial" w:hAnsi="Arial"/>
          <w:sz w:val="24"/>
          <w:szCs w:val="24"/>
        </w:rPr>
        <w:t xml:space="preserve">13. При осуществлении деятельности в соответствии с исламскими принципами финансирования, общие условия предоставления всех продуктов и типовые договоры должны быть одобрены Шариатским советом на предмет их соответствия стандартам Шариата. Если в условия конкретного договора внесены изменения и дополнения, изменяющие условия договора, они также должны быть одобрены Шариатским советом.</w:t>
      </w:r>
    </w:p>
    <w:p>
      <w:pPr>
        <w:spacing w:after="60"/>
        <w:ind w:firstLine="567"/>
        <w:jc w:val="both"/>
      </w:pPr>
      <w:r>
        <w:rPr>
          <w:rFonts w:ascii="Arial" w:cs="Arial" w:eastAsia="Arial" w:hAnsi="Arial"/>
          <w:sz w:val="24"/>
          <w:szCs w:val="24"/>
        </w:rPr>
        <w:t xml:space="preserve">Договор в части уточнения его условий с учетом специфики и деталей сделки по размещению денежных средств может быть изменен и дополнен банком без дополнительного согласования с Шариатским советом банка при условии сохранения в нем без изменений всех существенных (основных) условий типового договора, одобренного Шариатским советом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При выполнении своих функций Шариатский совет должен быть независимым от руководства банка.</w:t>
      </w:r>
    </w:p>
    <w:p>
      <w:pPr>
        <w:spacing w:after="60"/>
        <w:ind w:firstLine="567"/>
        <w:jc w:val="both"/>
      </w:pPr>
      <w:r>
        <w:rPr>
          <w:rFonts w:ascii="Arial" w:cs="Arial" w:eastAsia="Arial" w:hAnsi="Arial"/>
          <w:sz w:val="24"/>
          <w:szCs w:val="24"/>
        </w:rPr>
        <w:t xml:space="preserve">15. Деятельность Шариатского совета регулируется Положением о Шариатском совете, которое утверждается Советом директоров банка.</w:t>
      </w:r>
    </w:p>
    <w:p>
      <w:pPr>
        <w:spacing w:after="60"/>
        <w:ind w:firstLine="567"/>
        <w:jc w:val="both"/>
      </w:pPr>
      <w:r>
        <w:rPr>
          <w:rFonts w:ascii="Arial" w:cs="Arial" w:eastAsia="Arial" w:hAnsi="Arial"/>
          <w:sz w:val="24"/>
          <w:szCs w:val="24"/>
        </w:rPr>
        <w:t xml:space="preserve">16. Положение о Шариатском совете должно определять:</w:t>
      </w:r>
    </w:p>
    <w:p>
      <w:pPr>
        <w:spacing w:after="60"/>
        <w:ind w:firstLine="567"/>
        <w:jc w:val="both"/>
      </w:pPr>
      <w:r>
        <w:rPr>
          <w:rFonts w:ascii="Arial" w:cs="Arial" w:eastAsia="Arial" w:hAnsi="Arial"/>
          <w:sz w:val="24"/>
          <w:szCs w:val="24"/>
        </w:rPr>
        <w:t xml:space="preserve">- организацию работы Шариатского совета (регламент) - состав совета, порядок проведения заседаний;</w:t>
      </w:r>
    </w:p>
    <w:p>
      <w:pPr>
        <w:spacing w:after="60"/>
        <w:ind w:firstLine="567"/>
        <w:jc w:val="both"/>
      </w:pPr>
      <w:r>
        <w:rPr>
          <w:rFonts w:ascii="Arial" w:cs="Arial" w:eastAsia="Arial" w:hAnsi="Arial"/>
          <w:sz w:val="24"/>
          <w:szCs w:val="24"/>
        </w:rPr>
        <w:t xml:space="preserve">- полномочия и ответственность Шариатского совета;</w:t>
      </w:r>
    </w:p>
    <w:p>
      <w:pPr>
        <w:spacing w:after="60"/>
        <w:ind w:firstLine="567"/>
        <w:jc w:val="both"/>
      </w:pPr>
      <w:r>
        <w:rPr>
          <w:rFonts w:ascii="Arial" w:cs="Arial" w:eastAsia="Arial" w:hAnsi="Arial"/>
          <w:sz w:val="24"/>
          <w:szCs w:val="24"/>
        </w:rPr>
        <w:t xml:space="preserve">- порядок взаимодействия с Советом директоров, Правлением, Комитетом банка по финансированию, Комитетом по корпоративному управлению и Комитетом по аудиту.</w:t>
      </w:r>
    </w:p>
    <w:p>
      <w:pPr>
        <w:spacing w:after="60"/>
        <w:ind w:firstLine="567"/>
        <w:jc w:val="both"/>
      </w:pPr>
      <w:r>
        <w:rPr>
          <w:rFonts w:ascii="Arial" w:cs="Arial" w:eastAsia="Arial" w:hAnsi="Arial"/>
          <w:sz w:val="24"/>
          <w:szCs w:val="24"/>
        </w:rPr>
        <w:t xml:space="preserve">17. В Шариатский совет должны входить специалисты, соответствующие требованиям законодательства Кыргызской Республики, включая нормативные правовые акты Национального банка.</w:t>
      </w:r>
    </w:p>
    <w:p>
      <w:pPr>
        <w:spacing w:after="200" w:before="200"/>
        <w:jc w:val="center"/>
      </w:pPr>
      <w:r>
        <w:rPr>
          <w:rFonts w:ascii="Arial" w:cs="Arial" w:eastAsia="Arial" w:hAnsi="Arial"/>
          <w:b/>
          <w:bCs/>
          <w:sz w:val="24"/>
          <w:szCs w:val="24"/>
        </w:rPr>
        <w:t xml:space="preserve">Глава 4
 Комитет банка по финансированию</w:t>
      </w:r>
    </w:p>
    <w:p>
      <w:pPr>
        <w:spacing w:after="60"/>
        <w:ind w:firstLine="567"/>
        <w:jc w:val="both"/>
      </w:pPr>
      <w:r>
        <w:rPr>
          <w:rFonts w:ascii="Arial" w:cs="Arial" w:eastAsia="Arial" w:hAnsi="Arial"/>
          <w:sz w:val="24"/>
          <w:szCs w:val="24"/>
        </w:rPr>
        <w:t xml:space="preserve">18. Органом, осуществляющим политику банка по финансированию, является Комитет банка по финансированию, назначаемый Советом директоров банка.</w:t>
      </w:r>
    </w:p>
    <w:p>
      <w:pPr>
        <w:spacing w:after="60"/>
        <w:ind w:firstLine="567"/>
        <w:jc w:val="both"/>
      </w:pPr>
      <w:r>
        <w:rPr>
          <w:rFonts w:ascii="Arial" w:cs="Arial" w:eastAsia="Arial" w:hAnsi="Arial"/>
          <w:sz w:val="24"/>
          <w:szCs w:val="24"/>
        </w:rPr>
        <w:t xml:space="preserve">19. Все вопросы, касающиеся выдачи активов, гарантий, обязательств, поручительств и других активов и обязательств, по своей сути являющихся операциями финансирования и несущими в себе риск кредитной потери, должны решаться Комитетом банка по финансированию. Комитет по финансированию может делегировать данное право другим лицам, за исключением вопросов, относящихся к компетенции Совета директоров банка. Комитет по финансированию также рассматривает вопросы, касающиеся разделения полномочий по выдаче, списанию и реструктуризации активов в соответствии с Политикой. При этом решения Комитета по финансированию о списании и реструктуризации финансирования должны доводиться до сведения Правления не реже одного раза в месяц и до Совета директоров не реже одного раза в квартал. Комитет по финансированию выносит на рассмотрение Совета директоров предложения по продаже и списанию активов, несущих крупный кредитный риск. Правление банка несет ответственность за исполнение решений Совета директоров по этим вопросам.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Деятельность Комитета по финансированию регулируется Положением о Комитете банка по финансированию, которое утверждается Советом директоров банка.</w:t>
      </w:r>
    </w:p>
    <w:p>
      <w:pPr>
        <w:spacing w:after="60"/>
        <w:ind w:firstLine="567"/>
        <w:jc w:val="both"/>
      </w:pPr>
      <w:r>
        <w:rPr>
          <w:rFonts w:ascii="Arial" w:cs="Arial" w:eastAsia="Arial" w:hAnsi="Arial"/>
          <w:sz w:val="24"/>
          <w:szCs w:val="24"/>
        </w:rPr>
        <w:t xml:space="preserve">21. Положение о Комитете банка по финансированию должно определять:</w:t>
      </w:r>
    </w:p>
    <w:p>
      <w:pPr>
        <w:spacing w:after="60"/>
        <w:ind w:firstLine="567"/>
        <w:jc w:val="both"/>
      </w:pPr>
      <w:r>
        <w:rPr>
          <w:rFonts w:ascii="Arial" w:cs="Arial" w:eastAsia="Arial" w:hAnsi="Arial"/>
          <w:sz w:val="24"/>
          <w:szCs w:val="24"/>
        </w:rPr>
        <w:t xml:space="preserve">- организацию работы Комитета по финансированию - состав, порядок проведения заседаний, перечень документов, необходимых для принятия решений;</w:t>
      </w:r>
    </w:p>
    <w:p>
      <w:pPr>
        <w:spacing w:after="60"/>
        <w:ind w:firstLine="567"/>
        <w:jc w:val="both"/>
      </w:pPr>
      <w:r>
        <w:rPr>
          <w:rFonts w:ascii="Arial" w:cs="Arial" w:eastAsia="Arial" w:hAnsi="Arial"/>
          <w:sz w:val="24"/>
          <w:szCs w:val="24"/>
        </w:rPr>
        <w:t xml:space="preserve">- полномочия и ответственность Комитета по финансированию;</w:t>
      </w:r>
    </w:p>
    <w:p>
      <w:pPr>
        <w:spacing w:after="60"/>
        <w:ind w:firstLine="567"/>
        <w:jc w:val="both"/>
      </w:pPr>
      <w:r>
        <w:rPr>
          <w:rFonts w:ascii="Arial" w:cs="Arial" w:eastAsia="Arial" w:hAnsi="Arial"/>
          <w:sz w:val="24"/>
          <w:szCs w:val="24"/>
        </w:rPr>
        <w:t xml:space="preserve">- подотчетность Совету директоров и порядок взаимодействия с Правлением, Шариатским советом и структурными подразделениями банка по вопросам финансирования;</w:t>
      </w:r>
    </w:p>
    <w:p>
      <w:pPr>
        <w:spacing w:after="60"/>
        <w:ind w:firstLine="567"/>
        <w:jc w:val="both"/>
      </w:pPr>
      <w:r>
        <w:rPr>
          <w:rFonts w:ascii="Arial" w:cs="Arial" w:eastAsia="Arial" w:hAnsi="Arial"/>
          <w:sz w:val="24"/>
          <w:szCs w:val="24"/>
        </w:rPr>
        <w:t xml:space="preserve">- ответственность каждого члена Комитета по финансированию за принятые и подписанные им решения.</w:t>
      </w:r>
    </w:p>
    <w:p>
      <w:pPr>
        <w:spacing w:after="60"/>
        <w:ind w:firstLine="567"/>
        <w:jc w:val="both"/>
      </w:pPr>
      <w:r>
        <w:rPr>
          <w:rFonts w:ascii="Arial" w:cs="Arial" w:eastAsia="Arial" w:hAnsi="Arial"/>
          <w:sz w:val="24"/>
          <w:szCs w:val="24"/>
        </w:rPr>
        <w:t xml:space="preserve">22. Комитет банка по финансированию должен состоять, как минимум, из пяти человек и возглавляться Председателем Правления или одним из заместителей Председателя Правления банка.</w:t>
      </w:r>
    </w:p>
    <w:p>
      <w:pPr>
        <w:spacing w:after="60"/>
        <w:ind w:firstLine="567"/>
        <w:jc w:val="both"/>
      </w:pPr>
      <w:r>
        <w:rPr>
          <w:rFonts w:ascii="Arial" w:cs="Arial" w:eastAsia="Arial" w:hAnsi="Arial"/>
          <w:sz w:val="24"/>
          <w:szCs w:val="24"/>
        </w:rPr>
        <w:t xml:space="preserve">В состав Комитета по финансированию должны входить:</w:t>
      </w:r>
    </w:p>
    <w:p>
      <w:pPr>
        <w:spacing w:after="60"/>
        <w:ind w:firstLine="567"/>
        <w:jc w:val="both"/>
      </w:pPr>
      <w:r>
        <w:rPr>
          <w:rFonts w:ascii="Arial" w:cs="Arial" w:eastAsia="Arial" w:hAnsi="Arial"/>
          <w:sz w:val="24"/>
          <w:szCs w:val="24"/>
        </w:rPr>
        <w:t xml:space="preserve">- руководитель подразделения по финансированию банка;</w:t>
      </w:r>
    </w:p>
    <w:p>
      <w:pPr>
        <w:spacing w:after="60"/>
        <w:ind w:firstLine="567"/>
        <w:jc w:val="both"/>
      </w:pPr>
      <w:r>
        <w:rPr>
          <w:rFonts w:ascii="Arial" w:cs="Arial" w:eastAsia="Arial" w:hAnsi="Arial"/>
          <w:sz w:val="24"/>
          <w:szCs w:val="24"/>
        </w:rPr>
        <w:t xml:space="preserve">- руководитель юридической службы банка;</w:t>
      </w:r>
    </w:p>
    <w:p>
      <w:pPr>
        <w:spacing w:after="60"/>
        <w:ind w:firstLine="567"/>
        <w:jc w:val="both"/>
      </w:pPr>
      <w:r>
        <w:rPr>
          <w:rFonts w:ascii="Arial" w:cs="Arial" w:eastAsia="Arial" w:hAnsi="Arial"/>
          <w:sz w:val="24"/>
          <w:szCs w:val="24"/>
        </w:rPr>
        <w:t xml:space="preserve">- другие сотрудники банка, функциональные обязанности которых не вызывают конфликт интересов при их участии в работе Комитета по финансированию.</w:t>
      </w:r>
    </w:p>
    <w:p>
      <w:pPr>
        <w:spacing w:after="60"/>
        <w:ind w:firstLine="567"/>
        <w:jc w:val="both"/>
      </w:pPr>
      <w:r>
        <w:rPr>
          <w:rFonts w:ascii="Arial" w:cs="Arial" w:eastAsia="Arial" w:hAnsi="Arial"/>
          <w:sz w:val="24"/>
          <w:szCs w:val="24"/>
        </w:rPr>
        <w:t xml:space="preserve">Риск-менеджер может участвовать в работе Комитета по финансированию для выражения экспертного мнения, но без права голоса при принятии решений названным коллегиальным органом.</w:t>
      </w:r>
    </w:p>
    <w:p>
      <w:pPr>
        <w:spacing w:after="60"/>
        <w:ind w:firstLine="567"/>
        <w:jc w:val="both"/>
      </w:pPr>
      <w:r>
        <w:rPr>
          <w:rFonts w:ascii="Arial" w:cs="Arial" w:eastAsia="Arial" w:hAnsi="Arial"/>
          <w:sz w:val="24"/>
          <w:szCs w:val="24"/>
        </w:rPr>
        <w:t xml:space="preserve">Каждый член комитета, участвующий в принятии решения, должен:</w:t>
      </w:r>
    </w:p>
    <w:p>
      <w:pPr>
        <w:spacing w:after="60"/>
        <w:ind w:firstLine="567"/>
        <w:jc w:val="both"/>
      </w:pPr>
      <w:r>
        <w:rPr>
          <w:rFonts w:ascii="Arial" w:cs="Arial" w:eastAsia="Arial" w:hAnsi="Arial"/>
          <w:sz w:val="24"/>
          <w:szCs w:val="24"/>
        </w:rPr>
        <w:t xml:space="preserve">- быть осведомленным о сути рассматриваемого вопроса;</w:t>
      </w:r>
    </w:p>
    <w:p>
      <w:pPr>
        <w:spacing w:after="60"/>
        <w:ind w:firstLine="567"/>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60"/>
        <w:ind w:firstLine="567"/>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60"/>
        <w:ind w:firstLine="567"/>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23. Риск-менеджер банка, как минимум, на ежемесячной основе должен предоставлять отчеты об уровне кредитного риска Совету директоров, включая оценку риска по активам, несущим в себе кредитный риск, выданным связанным с банком лицам и аффилированным лицам банка.</w:t>
      </w:r>
    </w:p>
    <w:p>
      <w:pPr>
        <w:spacing w:after="200" w:before="200"/>
        <w:jc w:val="center"/>
      </w:pPr>
      <w:r>
        <w:rPr>
          <w:rFonts w:ascii="Arial" w:cs="Arial" w:eastAsia="Arial" w:hAnsi="Arial"/>
          <w:b/>
          <w:bCs/>
          <w:sz w:val="24"/>
          <w:szCs w:val="24"/>
        </w:rPr>
        <w:t xml:space="preserve">Глава 5
 Организация работы по предоставлению активов, несущих в себе кредитный риск</w:t>
      </w:r>
    </w:p>
    <w:p>
      <w:pPr>
        <w:spacing w:after="200" w:before="200"/>
        <w:jc w:val="center"/>
      </w:pPr>
      <w:r>
        <w:rPr>
          <w:rFonts w:ascii="Arial" w:cs="Arial" w:eastAsia="Arial" w:hAnsi="Arial"/>
          <w:b/>
          <w:bCs/>
          <w:sz w:val="24"/>
          <w:szCs w:val="24"/>
        </w:rPr>
        <w:t xml:space="preserve">§ 1. Анализ заявок на получение актива, несущего в себе кредитный риск</w:t>
      </w:r>
    </w:p>
    <w:p>
      <w:pPr>
        <w:spacing w:after="60"/>
        <w:ind w:firstLine="567"/>
        <w:jc w:val="both"/>
      </w:pPr>
      <w:r>
        <w:rPr>
          <w:rFonts w:ascii="Arial" w:cs="Arial" w:eastAsia="Arial" w:hAnsi="Arial"/>
          <w:sz w:val="24"/>
          <w:szCs w:val="24"/>
        </w:rPr>
        <w:t xml:space="preserve">24. Работа по предоставлению активов, несущих в себе кредитный риск начинается с момента принятия банком от клиента/партнера заявки на получение актива, несущего в себе кредитный риск, в которой должны быть указаны цель получения актива, несущего в себе кредитный риск, требуемая сумма, срок и условия, на которых он будет получен, информация об источнике его возврата и о залоге (в тех случаях, когда это предусмотрено нормативными правовыми актами Национального банка и внутренними документами банка).</w:t>
      </w:r>
    </w:p>
    <w:p>
      <w:pPr>
        <w:spacing w:after="60"/>
        <w:ind w:firstLine="567"/>
        <w:jc w:val="both"/>
      </w:pPr>
      <w:r>
        <w:rPr>
          <w:rFonts w:ascii="Arial" w:cs="Arial" w:eastAsia="Arial" w:hAnsi="Arial"/>
          <w:sz w:val="24"/>
          <w:szCs w:val="24"/>
        </w:rPr>
        <w:t xml:space="preserve">25. Банки обязаны фиксировать информацию о поступивших заявках клиентов/партнеров на получение активов, несущих в себе кредитный риск, независимо от принятого по заявке решения, включая информацию о клиенте/партнере в Журнале регистрации заявок на получение активов, несущих в себе кредитный риск клиентами/партнерами (далее - Журнал). В Журнале должна быть также отражена информация об уведомлении клиента/партнера в случае отказа. Журнал должен быть пронумерован, прошнурован, и скреплен печатью банка (</w:t>
      </w:r>
      <w:r>
        <w:rPr>
          <w:rFonts w:ascii="Arial" w:cs="Arial" w:eastAsia="Arial" w:hAnsi="Arial"/>
          <w:sz w:val="24"/>
          <w:szCs w:val="24"/>
        </w:rPr>
        <w:t xml:space="preserve">приложение 4</w:t>
      </w:r>
      <w:r>
        <w:rPr>
          <w:rFonts w:ascii="Arial" w:cs="Arial" w:eastAsia="Arial" w:hAnsi="Arial"/>
          <w:sz w:val="24"/>
          <w:szCs w:val="24"/>
        </w:rPr>
        <w:t xml:space="preserve">). Допускается ведение Журнала в электронном виде, при условии, что в банках установлена система безопасности, обеспечивающая сохранность информации, ее архивирование и невозможность ее бесследной корректировки. Содержащуюся в Журнале информацию следует хранить в соответствии со сроком, установленным в "</w:t>
      </w:r>
      <w:r>
        <w:rPr>
          <w:rFonts w:ascii="Arial" w:cs="Arial" w:eastAsia="Arial" w:hAnsi="Arial"/>
          <w:sz w:val="24"/>
          <w:szCs w:val="24"/>
        </w:rPr>
        <w:t xml:space="preserve">Перечне</w:t>
      </w:r>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 22/9 от 27 августа 2004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каждом банке должен быть установлен определенный порядок рассмотрения заявок на получение активов, несущих в себе кредитный риск, а также требования, предъявляемые к лицу, обратившемуся за получением актива, несущего в себе кредитный риск.</w:t>
      </w:r>
    </w:p>
    <w:p>
      <w:pPr>
        <w:spacing w:after="60"/>
        <w:ind w:firstLine="567"/>
        <w:jc w:val="both"/>
      </w:pPr>
      <w:r>
        <w:rPr>
          <w:rFonts w:ascii="Arial" w:cs="Arial" w:eastAsia="Arial" w:hAnsi="Arial"/>
          <w:sz w:val="24"/>
          <w:szCs w:val="24"/>
        </w:rPr>
        <w:t xml:space="preserve">27. В случае если специалист по финансированию или любое лицо, участвующее в принятии решения по выдаче актива, несущего в себе кредитный риск, имеет конфликт интересов с потенциальным клиентом, то данное лицо не должно вовлекаться в принятие решения по выдаче актива, несущего в себе кредитный риск.</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vd3kmjoripy-pwqtntp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29. Для определения соответствия установленным требованиям и целесообразности предоставления актива, несущего в себе кредитный риск, а также проведения анализа платежеспособности клиента/партнера банк должен потребовать от клиента/партнера следующие документы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 заполненную анкету/заявку, в которой должны быть указаны основные сведения о клиенте/партнере (если клиент/партнер - юридическое лицо - основной вид деятельности, приблизительный размер оборотных средств), структуру доходов (выручки) в разрезе валют (по активам в иностранной валюте), план погашения финансирования, основные бизнес-партнеры и др.;</w:t>
      </w:r>
    </w:p>
    <w:p>
      <w:pPr>
        <w:spacing w:after="60"/>
        <w:ind w:firstLine="567"/>
        <w:jc w:val="both"/>
      </w:pPr>
      <w:r>
        <w:rPr>
          <w:rFonts w:ascii="Arial" w:cs="Arial" w:eastAsia="Arial" w:hAnsi="Arial"/>
          <w:sz w:val="24"/>
          <w:szCs w:val="24"/>
        </w:rPr>
        <w:t xml:space="preserve">- копии учредительных документов (если клиент/партнер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таких копий;</w:t>
      </w:r>
    </w:p>
    <w:p>
      <w:pPr>
        <w:spacing w:after="60"/>
        <w:ind w:firstLine="567"/>
        <w:jc w:val="both"/>
      </w:pPr>
      <w:r>
        <w:rPr>
          <w:rFonts w:ascii="Arial" w:cs="Arial" w:eastAsia="Arial" w:hAnsi="Arial"/>
          <w:sz w:val="24"/>
          <w:szCs w:val="24"/>
        </w:rPr>
        <w:t xml:space="preserve">- финансовую отчетность клиента/партнера (если клиент/партнер - юридическое лицо) за последний отчетный год. Если клиент/партнер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такую отчетность у юридического лица;</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выдано финансирование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или предоставить в банк в электронном формате, для проверки через информационные системы соответствующих государственных органов Кыргызской Республики. При этом ответственный сотрудник банка должен проверить достоверность электронного патента на бумажном носителе (копия), либо в форме электронного документа,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 или через информационные системы соответствующих государственных органов Кыргызской Республики.</w:t>
      </w:r>
    </w:p>
    <w:p>
      <w:pPr>
        <w:spacing w:after="60"/>
        <w:ind w:firstLine="567"/>
        <w:jc w:val="both"/>
      </w:pPr>
      <w:r>
        <w:rPr>
          <w:rFonts w:ascii="Arial" w:cs="Arial" w:eastAsia="Arial" w:hAnsi="Arial"/>
          <w:sz w:val="24"/>
          <w:szCs w:val="24"/>
        </w:rPr>
        <w:t xml:space="preserve">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бизнес-план (если клиент - юридическое лицо и сумма финансирования составляет более 3500000 сомов, за исключением финансирования, предоставляемого на пополнение оборотных средств), включающий в себя цель получения финансирования, примерный прогноз движения средств клиента/партнера, источники погашения в разрезе валют, сроки и план мероприятий по погашению финансирования. При этом банк, в целях минимизации кредитных рисков, должен установить дополнительные требования к бизнес-плану по инвестиционному финансированию, крупному финансированию и другим видам финансирования, требующим более тщательной оценки бизнеса клиента/партнера;</w:t>
      </w:r>
    </w:p>
    <w:p>
      <w:pPr>
        <w:spacing w:after="60"/>
        <w:ind w:firstLine="567"/>
        <w:jc w:val="both"/>
      </w:pPr>
      <w:r>
        <w:rPr>
          <w:rFonts w:ascii="Arial" w:cs="Arial" w:eastAsia="Arial" w:hAnsi="Arial"/>
          <w:sz w:val="24"/>
          <w:szCs w:val="24"/>
        </w:rPr>
        <w:t xml:space="preserve">- опись закладываемого имущества (при его наличии) с указанием рыночной стоимости, даты оценки, кем произведена оценка, доказательства регистрации, местонахождения залога,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pPr>
        <w:spacing w:after="60"/>
        <w:ind w:firstLine="567"/>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гарантия является единственным обеспечением по финансированию и гарант - юридическое лицо);</w:t>
      </w:r>
    </w:p>
    <w:p>
      <w:pPr>
        <w:spacing w:after="60"/>
        <w:ind w:firstLine="567"/>
        <w:jc w:val="both"/>
      </w:pPr>
      <w:r>
        <w:rPr>
          <w:rFonts w:ascii="Arial" w:cs="Arial" w:eastAsia="Arial" w:hAnsi="Arial"/>
          <w:sz w:val="24"/>
          <w:szCs w:val="24"/>
        </w:rPr>
        <w:t xml:space="preserve">- документ, удостоверяющий личность (если клиент/партнер - физическое лицо);</w:t>
      </w:r>
    </w:p>
    <w:p>
      <w:pPr>
        <w:spacing w:after="60"/>
        <w:ind w:firstLine="567"/>
        <w:jc w:val="both"/>
      </w:pPr>
      <w:r>
        <w:rPr>
          <w:rFonts w:ascii="Arial" w:cs="Arial" w:eastAsia="Arial" w:hAnsi="Arial"/>
          <w:sz w:val="24"/>
          <w:szCs w:val="24"/>
        </w:rPr>
        <w:t xml:space="preserve">- справку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клиент/партнер - физическое лицо).</w:t>
      </w:r>
    </w:p>
    <w:p>
      <w:pPr>
        <w:spacing w:after="60"/>
        <w:ind w:firstLine="567"/>
        <w:jc w:val="both"/>
      </w:pPr>
      <w:r>
        <w:rPr>
          <w:rFonts w:ascii="Arial" w:cs="Arial" w:eastAsia="Arial" w:hAnsi="Arial"/>
          <w:sz w:val="24"/>
          <w:szCs w:val="24"/>
        </w:rPr>
        <w:t xml:space="preserve">Кроме перечисленных выше документов, банк может запросить и другие документы, которые необходимы банку, в том числе для оценки платежеспособности клиента/партнера (контракты, договоры, рекомендательные письма и т.п.) по усмотрению банка, которые могут быть предоставлены в форме электронного документа или на бумажном носителе.</w:t>
      </w:r>
    </w:p>
    <w:p>
      <w:pPr>
        <w:spacing w:after="60"/>
        <w:ind w:firstLine="567"/>
        <w:jc w:val="both"/>
      </w:pPr>
      <w:r>
        <w:rPr>
          <w:rFonts w:ascii="Arial" w:cs="Arial" w:eastAsia="Arial" w:hAnsi="Arial"/>
          <w:sz w:val="24"/>
          <w:szCs w:val="24"/>
        </w:rPr>
        <w:t xml:space="preserve">В банке должны быть внутренние процедуры по работе с данными клиентов/партнеров, содержащие требования по обеспечению сохранности и защиты данных. Сотрудники банка при сборе информации и проведении бесед с клиентами/партнерами должны дать четкое разъяснение клиентам/партнерам, в каких случаях могут быть использованы данные клиента/партнера, в соответствии с законодательством.</w:t>
      </w:r>
    </w:p>
    <w:p>
      <w:pPr>
        <w:spacing w:after="60"/>
        <w:ind w:firstLine="567"/>
        <w:jc w:val="both"/>
      </w:pPr>
      <w:r>
        <w:rPr>
          <w:rFonts w:ascii="Arial" w:cs="Arial" w:eastAsia="Arial" w:hAnsi="Arial"/>
          <w:sz w:val="24"/>
          <w:szCs w:val="24"/>
        </w:rPr>
        <w:t xml:space="preserve">Для использования фотографий или видеозаписей с изображением клиентов/партнеров, аудиозаписей и иную информацию о них в рекламных, маркетинговых материалах и в других публичных целях необходимо получение на это письменного согласия клиентов/партнеров.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марта 2021 года № 2021-П-12/14-5</w:t>
      </w:r>
      <w:r>
        <w:rPr>
          <w:rFonts w:ascii="Arial" w:cs="Arial" w:eastAsia="Arial" w:hAnsi="Arial"/>
          <w:i/>
          <w:iCs/>
          <w:sz w:val="24"/>
          <w:szCs w:val="24"/>
        </w:rPr>
        <w:t xml:space="preserve">, </w:t>
      </w:r>
      <w:hyperlink w:history="1" r:id="rIdcw-uft7w9fx2n02wmhswz">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оказании банковских услуг банк должен обеспечить соблюдение прав клиентов/партнеров, включая следующие права:</w:t>
      </w:r>
    </w:p>
    <w:p>
      <w:pPr>
        <w:spacing w:after="60"/>
        <w:ind w:firstLine="567"/>
        <w:jc w:val="both"/>
      </w:pPr>
      <w:r>
        <w:rPr>
          <w:rFonts w:ascii="Arial" w:cs="Arial" w:eastAsia="Arial" w:hAnsi="Arial"/>
          <w:sz w:val="24"/>
          <w:szCs w:val="24"/>
        </w:rPr>
        <w:t xml:space="preserve">- право клиента по договорам мурабаха, истиснаа, иджара отказаться от получения актива, несущего в себе кредитный риск, с момента подписания договора до момента осуществления платежа по оплате за товар/имущество;</w:t>
      </w:r>
    </w:p>
    <w:p>
      <w:pPr>
        <w:spacing w:after="60"/>
        <w:ind w:firstLine="567"/>
        <w:jc w:val="both"/>
      </w:pPr>
      <w:r>
        <w:rPr>
          <w:rFonts w:ascii="Arial" w:cs="Arial" w:eastAsia="Arial" w:hAnsi="Arial"/>
          <w:sz w:val="24"/>
          <w:szCs w:val="24"/>
        </w:rPr>
        <w:t xml:space="preserve">- право партнера по договорам мудараба и мушарака отказаться от получения актива, несущего в себе кредитный риск, с момента подписания договора до момента получения денежных средств; </w:t>
      </w:r>
    </w:p>
    <w:p>
      <w:pPr>
        <w:spacing w:after="60"/>
        <w:ind w:firstLine="567"/>
        <w:jc w:val="both"/>
      </w:pPr>
      <w:r>
        <w:rPr>
          <w:rFonts w:ascii="Arial" w:cs="Arial" w:eastAsia="Arial" w:hAnsi="Arial"/>
          <w:sz w:val="24"/>
          <w:szCs w:val="24"/>
        </w:rPr>
        <w:t xml:space="preserve">- право клиента/партнера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клиенту/партнеру на ознакомление с договором, должно быть не менее 1 (одного) дня, но не более 3 (трех) дней;</w:t>
      </w:r>
    </w:p>
    <w:p>
      <w:pPr>
        <w:spacing w:after="60"/>
        <w:ind w:firstLine="567"/>
        <w:jc w:val="both"/>
      </w:pPr>
      <w:r>
        <w:rPr>
          <w:rFonts w:ascii="Arial" w:cs="Arial" w:eastAsia="Arial" w:hAnsi="Arial"/>
          <w:sz w:val="24"/>
          <w:szCs w:val="24"/>
        </w:rPr>
        <w:t xml:space="preserve">- право клиента/партнера обратиться в банк с просьбой о пролонгации или реструктуризации актива, несущего в себе кредитный риск;</w:t>
      </w:r>
    </w:p>
    <w:p>
      <w:pPr>
        <w:spacing w:after="60"/>
        <w:ind w:firstLine="567"/>
        <w:jc w:val="both"/>
      </w:pPr>
      <w:r>
        <w:rPr>
          <w:rFonts w:ascii="Arial" w:cs="Arial" w:eastAsia="Arial" w:hAnsi="Arial"/>
          <w:sz w:val="24"/>
          <w:szCs w:val="24"/>
        </w:rPr>
        <w:t xml:space="preserve">- право клиента/партнера, в случае если более 50% от основной суммы актива, несущего в себе кредитный риск,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активу, несущему в себе кредитный риск, в соответствии с внутренними документами банка, без уплаты комиссионных и иных платежей.</w:t>
      </w:r>
    </w:p>
    <w:p>
      <w:pPr>
        <w:spacing w:after="60"/>
        <w:ind w:firstLine="567"/>
        <w:jc w:val="both"/>
      </w:pPr>
      <w:r>
        <w:rPr>
          <w:rFonts w:ascii="Arial" w:cs="Arial" w:eastAsia="Arial" w:hAnsi="Arial"/>
          <w:sz w:val="24"/>
          <w:szCs w:val="24"/>
        </w:rPr>
        <w:t xml:space="preserve">При заключении договора финансирования с клиентом/партнером - физическим лицом, в том числе с индивидуальным предпринимателем, банк предоставляет указанным клиентам/партнерам право выбора следующих способов получения финансирования:</w:t>
      </w:r>
    </w:p>
    <w:p>
      <w:pPr>
        <w:spacing w:after="60"/>
        <w:ind w:firstLine="567"/>
        <w:jc w:val="both"/>
      </w:pPr>
      <w:r>
        <w:rPr>
          <w:rFonts w:ascii="Arial" w:cs="Arial" w:eastAsia="Arial" w:hAnsi="Arial"/>
          <w:sz w:val="24"/>
          <w:szCs w:val="24"/>
        </w:rPr>
        <w:t xml:space="preserve">- получение денежных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денежных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клиенты/партнеры - физические лица, в том числе индивидуальные предприниматели, вправе осуществлять погашение финансирования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денежных средств без уплаты комиссионных и иных платежей за обналичивание денежных средств предоставляется банком при ипотечном финансировании, а также финансирования в рамках государственных/правительственных и социальных программ, направленных на развитие экономики клиентам/партнерам - физическим лицам, в том числе индивидуальным предпринимателям.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96tkln_od2gu6qb2wqec">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целях повышения прозрачности деятельности банка по финансированию и улучшения осведомленности клиентов/партнеров об условиях финансирования в местах обслуживания клиентов/партнеров банка должны быть размещены стенды, содержащие публичную информацию об условиях и порядке финансирования, о перечне необходимых документов для получения актива, несущего в себе кредитный риск, о перечне основных нормативных правовых актов Национального банка и внутренних нормативных документов банка, регламентирующих процесс финансирования. Также на стендах должна быть представлена информация о правах клиентов/партнеров, о наличии в банке Книги жалоб и предложений и другая полезная информация для клиентов/партнеров.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Сотрудники банка должны осуществлять взаимодействие с клиентами исключительно в рамках своих функциональных обязанностей. Кроме того, сотрудники банка не имеют право содействовать клиенту/партнеру в выдаче актива, несущего в себе кредитный риск, в качестве посредника за вознаграждение.</w:t>
      </w:r>
    </w:p>
    <w:p>
      <w:pPr>
        <w:spacing w:after="60"/>
        <w:ind w:firstLine="567"/>
        <w:jc w:val="both"/>
      </w:pPr>
      <w:r>
        <w:rPr>
          <w:rFonts w:ascii="Arial" w:cs="Arial" w:eastAsia="Arial" w:hAnsi="Arial"/>
          <w:sz w:val="24"/>
          <w:szCs w:val="24"/>
        </w:rPr>
        <w:t xml:space="preserve">33. Банк, принимая на себя риски, связанные с предоставлением актива, несущего в себе кредитный риск, должен проверять полноту и достоверность информации, представленной клиентом/партнером, в том числе по доходам клиентов/партнеров, которые имеют доходы, не подтвержденные документально, как до момента выдачи актива, несущего в себе кредитный риск, так и в последующем - до полного возврата средств банка, не реже чем один раз в год, с учетом требований, указанных в пункте 68-1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fn8d5rshj9pbtlszor37">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целом анализ заявки на получение актива, несущего в себе кредитный риск, должен основываться на политике банка, одобренной советом директоров, и концентрироваться на следующих ключевых факторах:</w:t>
      </w:r>
    </w:p>
    <w:p>
      <w:pPr>
        <w:spacing w:after="60"/>
        <w:ind w:firstLine="567"/>
        <w:jc w:val="both"/>
      </w:pPr>
      <w:r>
        <w:rPr>
          <w:rFonts w:ascii="Arial" w:cs="Arial" w:eastAsia="Arial" w:hAnsi="Arial"/>
          <w:sz w:val="24"/>
          <w:szCs w:val="24"/>
        </w:rPr>
        <w:t xml:space="preserve">- праве получить финансирование. Банк должен убедиться в том, что клиент/партнер имеет право на получение актива, несущего в себе кредитный риск, и подписание договора;</w:t>
      </w:r>
    </w:p>
    <w:p>
      <w:pPr>
        <w:spacing w:after="60"/>
        <w:ind w:firstLine="567"/>
        <w:jc w:val="both"/>
      </w:pPr>
      <w:r>
        <w:rPr>
          <w:rFonts w:ascii="Arial" w:cs="Arial" w:eastAsia="Arial" w:hAnsi="Arial"/>
          <w:sz w:val="24"/>
          <w:szCs w:val="24"/>
        </w:rPr>
        <w:t xml:space="preserve">- характере клиента/партнера. Банк должен установить, что клиент/партнер ответственно относится к получению финансирования, дает полные ответы на вопросы банка и будет прилагать все усилия для выплаты задолженности. При анализе следует также учитывать, пользовался ли клиент/партнер кредитами (займами) или активами, несущими в себе кредитный риск,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и рассматривать срок, опыт работы клиента/партнера в данной отрасли, его успехи и достижения. Имеет смысл запросить информацию о предоставленных ему активах, несущих в себе кредитный риск, в других кредитных организациях. Кроме того, необходимо запросить информацию (кредитный отчет) о связанных с клиентом/партнером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60"/>
        <w:ind w:firstLine="567"/>
        <w:jc w:val="both"/>
      </w:pPr>
      <w:r>
        <w:rPr>
          <w:rFonts w:ascii="Arial" w:cs="Arial" w:eastAsia="Arial" w:hAnsi="Arial"/>
          <w:sz w:val="24"/>
          <w:szCs w:val="24"/>
        </w:rPr>
        <w:t xml:space="preserve">- денежных средствах. Главный вопрос, на который должен ответить сотрудник банка, анализирующий заявку на получение актива, несущего в себе кредитный риск, это: сможет ли клиент/партнер получить достаточно денежных средств в форме дохода и потока наличности, в том числе в той валюте, в которой он намеревается получить финансирование для того, чтобы погасить актив, несущий в себе кредитный риск.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договора.</w:t>
      </w:r>
    </w:p>
    <w:p>
      <w:pPr>
        <w:spacing w:after="60"/>
        <w:ind w:firstLine="567"/>
        <w:jc w:val="both"/>
      </w:pPr>
      <w:r>
        <w:rPr>
          <w:rFonts w:ascii="Arial" w:cs="Arial" w:eastAsia="Arial" w:hAnsi="Arial"/>
          <w:sz w:val="24"/>
          <w:szCs w:val="24"/>
        </w:rPr>
        <w:t xml:space="preserve">Кроме того, банк должен определить достаточность доходов (выручки) клиента/партнера (в том числе в иностранной валюте) с учетом роста обменных курсов для того, чтобы обеспечить своевременное погашение клиентом/партнером актива.</w:t>
      </w:r>
    </w:p>
    <w:p>
      <w:pPr>
        <w:spacing w:after="60"/>
        <w:ind w:firstLine="567"/>
        <w:jc w:val="both"/>
      </w:pPr>
      <w:r>
        <w:rPr>
          <w:rFonts w:ascii="Arial" w:cs="Arial" w:eastAsia="Arial" w:hAnsi="Arial"/>
          <w:sz w:val="24"/>
          <w:szCs w:val="24"/>
        </w:rPr>
        <w:t xml:space="preserve">В случае если у клиента/партнера в предстоящие 12 месяцев доходы (выручка) будут преимущественно в национальной валюте, банк должен оценить целесообразность выдачи финансирования в иностранной валюте такому клиенту/партнеру, учитывая кредитный риск, обусловленный валютным риском, в результате негативного изменения обменного курса для клиента/партнера с учетом требований нормативных правовых актов Национального банка, в том числе по РППУ;</w:t>
      </w:r>
    </w:p>
    <w:p>
      <w:pPr>
        <w:spacing w:after="60"/>
        <w:ind w:firstLine="567"/>
        <w:jc w:val="both"/>
      </w:pPr>
      <w:r>
        <w:rPr>
          <w:rFonts w:ascii="Arial" w:cs="Arial" w:eastAsia="Arial" w:hAnsi="Arial"/>
          <w:sz w:val="24"/>
          <w:szCs w:val="24"/>
        </w:rPr>
        <w:t xml:space="preserve">- обеспечении. При оценке обеспечения специалист по финансированию банка должен выяснить, располагает ли клиент/партнер достаточным качественным обеспечением, необходимым для уменьшения риска невозврата актива, несущего в себе кредитный риск.</w:t>
      </w:r>
    </w:p>
    <w:p>
      <w:pPr>
        <w:spacing w:after="60"/>
        <w:ind w:firstLine="567"/>
        <w:jc w:val="both"/>
      </w:pPr>
      <w:r>
        <w:rPr>
          <w:rFonts w:ascii="Arial" w:cs="Arial" w:eastAsia="Arial" w:hAnsi="Arial"/>
          <w:sz w:val="24"/>
          <w:szCs w:val="24"/>
        </w:rPr>
        <w:t xml:space="preserve">При выдаче активов, несущих в себе кредитный риск, могут использоваться различные формы, виды и способы обеспечения.</w:t>
      </w:r>
    </w:p>
    <w:p>
      <w:pPr>
        <w:spacing w:after="60"/>
        <w:ind w:firstLine="567"/>
        <w:jc w:val="both"/>
      </w:pPr>
      <w:r>
        <w:rPr>
          <w:rFonts w:ascii="Arial" w:cs="Arial" w:eastAsia="Arial" w:hAnsi="Arial"/>
          <w:sz w:val="24"/>
          <w:szCs w:val="24"/>
        </w:rPr>
        <w:t xml:space="preserve">Обеспечение обязательств клиентов/партнеров классифицируется по различным признакам:</w:t>
      </w:r>
    </w:p>
    <w:p>
      <w:pPr>
        <w:spacing w:after="60"/>
        <w:ind w:firstLine="567"/>
        <w:jc w:val="both"/>
      </w:pPr>
      <w:r>
        <w:rPr>
          <w:rFonts w:ascii="Arial" w:cs="Arial" w:eastAsia="Arial" w:hAnsi="Arial"/>
          <w:sz w:val="24"/>
          <w:szCs w:val="24"/>
        </w:rPr>
        <w:t xml:space="preserve">- имущественная форма обеспечения активов, несущих в себе кредитный риск, под которой понимается вторичный источник погашения актива за счет получения денежных средств от реализации имущества, предоставленного клиентом/партнером при получении актива, несущего в себе кредитный риск.</w:t>
      </w:r>
    </w:p>
    <w:p>
      <w:pPr>
        <w:spacing w:after="60"/>
        <w:ind w:firstLine="567"/>
        <w:jc w:val="both"/>
      </w:pPr>
      <w:r>
        <w:rPr>
          <w:rFonts w:ascii="Arial" w:cs="Arial" w:eastAsia="Arial" w:hAnsi="Arial"/>
          <w:sz w:val="24"/>
          <w:szCs w:val="24"/>
        </w:rPr>
        <w:t xml:space="preserve">К имущественной форме могут относиться следующие виды обеспечения активов, несущих в себе кредитный риск:</w:t>
      </w:r>
    </w:p>
    <w:p>
      <w:pPr>
        <w:spacing w:after="60"/>
        <w:ind w:firstLine="567"/>
        <w:jc w:val="both"/>
      </w:pPr>
      <w:r>
        <w:rPr>
          <w:rFonts w:ascii="Arial" w:cs="Arial" w:eastAsia="Arial" w:hAnsi="Arial"/>
          <w:sz w:val="24"/>
          <w:szCs w:val="24"/>
        </w:rPr>
        <w:t xml:space="preserve">- залог недвижимого имущества;</w:t>
      </w:r>
    </w:p>
    <w:p>
      <w:pPr>
        <w:spacing w:after="60"/>
        <w:ind w:firstLine="567"/>
        <w:jc w:val="both"/>
      </w:pPr>
      <w:r>
        <w:rPr>
          <w:rFonts w:ascii="Arial" w:cs="Arial" w:eastAsia="Arial" w:hAnsi="Arial"/>
          <w:sz w:val="24"/>
          <w:szCs w:val="24"/>
        </w:rPr>
        <w:t xml:space="preserve">- залог движимого имущества (это имущество, как правило, остается в пользовании клиента/партнера - автотранспорт, товары в обороте, бытовая техника и т.п.);</w:t>
      </w:r>
    </w:p>
    <w:p>
      <w:pPr>
        <w:spacing w:after="60"/>
        <w:ind w:firstLine="567"/>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60"/>
        <w:ind w:firstLine="567"/>
        <w:jc w:val="both"/>
      </w:pPr>
      <w:r>
        <w:rPr>
          <w:rFonts w:ascii="Arial" w:cs="Arial" w:eastAsia="Arial" w:hAnsi="Arial"/>
          <w:sz w:val="24"/>
          <w:szCs w:val="24"/>
        </w:rPr>
        <w:t xml:space="preserve">- неимущественная форма обеспечения активов, несущих в себе кредитный риск. Неимущественная форма обеспечения активов - это источник погашения актива за счет юридического оформления гарантии возврата средств.</w:t>
      </w:r>
    </w:p>
    <w:p>
      <w:pPr>
        <w:spacing w:after="60"/>
        <w:ind w:firstLine="567"/>
        <w:jc w:val="both"/>
      </w:pPr>
      <w:r>
        <w:rPr>
          <w:rFonts w:ascii="Arial" w:cs="Arial" w:eastAsia="Arial" w:hAnsi="Arial"/>
          <w:sz w:val="24"/>
          <w:szCs w:val="24"/>
        </w:rPr>
        <w:t xml:space="preserve">К неимущественной форме обеспечения по активам, несущим в себе кредитный риск, могут быть отнесены такие виды обеспечения активов, как:</w:t>
      </w:r>
    </w:p>
    <w:p>
      <w:pPr>
        <w:spacing w:after="60"/>
        <w:ind w:firstLine="567"/>
        <w:jc w:val="both"/>
      </w:pPr>
      <w:r>
        <w:rPr>
          <w:rFonts w:ascii="Arial" w:cs="Arial" w:eastAsia="Arial" w:hAnsi="Arial"/>
          <w:sz w:val="24"/>
          <w:szCs w:val="24"/>
        </w:rPr>
        <w:t xml:space="preserve">- гарантия;</w:t>
      </w:r>
    </w:p>
    <w:p>
      <w:pPr>
        <w:spacing w:after="60"/>
        <w:ind w:firstLine="567"/>
        <w:jc w:val="both"/>
      </w:pPr>
      <w:r>
        <w:rPr>
          <w:rFonts w:ascii="Arial" w:cs="Arial" w:eastAsia="Arial" w:hAnsi="Arial"/>
          <w:sz w:val="24"/>
          <w:szCs w:val="24"/>
        </w:rPr>
        <w:t xml:space="preserve">- поручительство.</w:t>
      </w:r>
    </w:p>
    <w:p>
      <w:pPr>
        <w:spacing w:after="60"/>
        <w:ind w:firstLine="567"/>
        <w:jc w:val="both"/>
      </w:pPr>
      <w:r>
        <w:rPr>
          <w:rFonts w:ascii="Arial" w:cs="Arial" w:eastAsia="Arial" w:hAnsi="Arial"/>
          <w:sz w:val="24"/>
          <w:szCs w:val="24"/>
        </w:rPr>
        <w:t xml:space="preserve">По степени покрытия обязательства, обеспечения по активу, несущему в себе кредитный риск, делятся на:</w:t>
      </w:r>
    </w:p>
    <w:p>
      <w:pPr>
        <w:spacing w:after="60"/>
        <w:ind w:firstLine="567"/>
        <w:jc w:val="both"/>
      </w:pPr>
      <w:r>
        <w:rPr>
          <w:rFonts w:ascii="Arial" w:cs="Arial" w:eastAsia="Arial" w:hAnsi="Arial"/>
          <w:sz w:val="24"/>
          <w:szCs w:val="24"/>
        </w:rPr>
        <w:t xml:space="preserve">- основное обеспечение;</w:t>
      </w:r>
    </w:p>
    <w:p>
      <w:pPr>
        <w:spacing w:after="60"/>
        <w:ind w:firstLine="567"/>
        <w:jc w:val="both"/>
      </w:pPr>
      <w:r>
        <w:rPr>
          <w:rFonts w:ascii="Arial" w:cs="Arial" w:eastAsia="Arial" w:hAnsi="Arial"/>
          <w:sz w:val="24"/>
          <w:szCs w:val="24"/>
        </w:rPr>
        <w:t xml:space="preserve">- дополнительное обеспечение.</w:t>
      </w:r>
    </w:p>
    <w:p>
      <w:pPr>
        <w:spacing w:after="60"/>
        <w:ind w:firstLine="567"/>
        <w:jc w:val="both"/>
      </w:pPr>
      <w:r>
        <w:rPr>
          <w:rFonts w:ascii="Arial" w:cs="Arial" w:eastAsia="Arial" w:hAnsi="Arial"/>
          <w:sz w:val="24"/>
          <w:szCs w:val="24"/>
        </w:rPr>
        <w:t xml:space="preserve">В зависимости от полноты покрываемого обязательства обеспечение по активу, несущему в себе кредитный риск, делится на:</w:t>
      </w:r>
    </w:p>
    <w:p>
      <w:pPr>
        <w:spacing w:after="60"/>
        <w:ind w:firstLine="567"/>
        <w:jc w:val="both"/>
      </w:pPr>
      <w:r>
        <w:rPr>
          <w:rFonts w:ascii="Arial" w:cs="Arial" w:eastAsia="Arial" w:hAnsi="Arial"/>
          <w:sz w:val="24"/>
          <w:szCs w:val="24"/>
        </w:rPr>
        <w:t xml:space="preserve">- полностью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 частично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60"/>
        <w:ind w:firstLine="567"/>
        <w:jc w:val="both"/>
      </w:pPr>
      <w:r>
        <w:rPr>
          <w:rFonts w:ascii="Arial" w:cs="Arial" w:eastAsia="Arial" w:hAnsi="Arial"/>
          <w:sz w:val="24"/>
          <w:szCs w:val="24"/>
        </w:rPr>
        <w:t xml:space="preserve">Основные мероприятия банка для принятия имущественного обеспечения по активу, несущему в себе кредитный риск:</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клиентом/партнером.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клиента/партнера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банк должен определить уровень ликвидности обеспечения, т.е. возможность быстрой продажи (реализации);</w:t>
      </w:r>
    </w:p>
    <w:p>
      <w:pPr>
        <w:spacing w:after="60"/>
        <w:ind w:firstLine="567"/>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активу, несущему в себе кредитный риск, над суммой финансирования и причитающихся выплат по нему с учетом размера возможных затрат на реализацию предмета обеспечения является инструментом по управлению риском невозврата активов, несущих в себе кредитный риск;</w:t>
      </w:r>
    </w:p>
    <w:p>
      <w:pPr>
        <w:spacing w:after="60"/>
        <w:ind w:firstLine="567"/>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клиентом/партнером имущество, при этом банку следует учесть риски снижения стоимости этого обеспечения;</w:t>
      </w:r>
    </w:p>
    <w:p>
      <w:pPr>
        <w:spacing w:after="60"/>
        <w:ind w:firstLine="567"/>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клиентом/партнером финансирования, при этом следует учитывать возможность возникновения потребности в хранении обеспечения, что может вызвать дополнительные расходы. 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клиента/партнера как минимум за последний год, оценить риски, связанные с выполнением сторонами обязательств по данному финансированию и реализацией вторичного источника погашения, в случае невозврата финансирования;</w:t>
      </w:r>
    </w:p>
    <w:p>
      <w:pPr>
        <w:spacing w:after="60"/>
        <w:ind w:firstLine="567"/>
        <w:jc w:val="both"/>
      </w:pPr>
      <w:r>
        <w:rPr>
          <w:rFonts w:ascii="Arial" w:cs="Arial" w:eastAsia="Arial" w:hAnsi="Arial"/>
          <w:sz w:val="24"/>
          <w:szCs w:val="24"/>
        </w:rPr>
        <w:t xml:space="preserve">- гарантия/поручительство. При обеспечении актива, несущего в себе кредитный риск, гарантией/поручительством для определения целесообразности предоставления финансирования банк проводит анализ платежеспособности гаранта/поручителя в таком же объеме, как и самого клиента/партнера. Банк должен потребовать от гаранта/поручителя документы, запрашиваемые для анализа платежеспособности самого клиента/партнера,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активов, несущих в себе кредитный риск, в части обеспеченных гарантией/поручительством в качестве бланковых;</w:t>
      </w:r>
    </w:p>
    <w:p>
      <w:pPr>
        <w:spacing w:after="60"/>
        <w:ind w:firstLine="567"/>
        <w:jc w:val="both"/>
      </w:pPr>
      <w:r>
        <w:rPr>
          <w:rFonts w:ascii="Arial" w:cs="Arial" w:eastAsia="Arial" w:hAnsi="Arial"/>
          <w:sz w:val="24"/>
          <w:szCs w:val="24"/>
        </w:rPr>
        <w:t xml:space="preserve">- поручительство членов группы солидарной ответственности. При этом под группой солидарной ответственности (далее -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рассмотрении заявки на получение актива, несущего в себе кредитный риск, участников ГСО банк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60"/>
        <w:ind w:firstLine="567"/>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ГСО актива, несущего в себе кредитный риск.</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eawibcs-tayjb_n7bg63">
        <w:r>
          <w:rPr>
            <w:rFonts w:ascii="Arial" w:cs="Arial" w:eastAsia="Arial" w:hAnsi="Arial"/>
            <w:i/>
            <w:iCs/>
            <w:color w:val="1D4ED8"/>
            <w:sz w:val="24"/>
            <w:szCs w:val="24"/>
            <w:u w:val="single"/>
          </w:rPr>
          <w:t xml:space="preserve">30 июня 2021 года № 2021-П-12/36-</w:t>
        </w:r>
      </w:hyperlink>
      <w:r>
        <w:rPr>
          <w:rFonts w:ascii="Arial" w:cs="Arial" w:eastAsia="Arial" w:hAnsi="Arial"/>
          <w:i/>
          <w:iCs/>
          <w:sz w:val="24"/>
          <w:szCs w:val="24"/>
        </w:rPr>
        <w:t xml:space="preserve">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34-1. Банк в целях организации работы по оценке риска при заключении, изменении и мониторинге исполнения сделок по финансированию обязан заключить договор об обмене кредитной информацией с одним или несколькими кредитными бюро, а также предоставлять хотя бы одному кредитному бюро имеющуюся в банке кредитную информацию.</w:t>
      </w:r>
    </w:p>
    <w:p>
      <w:pPr>
        <w:spacing w:after="60"/>
        <w:ind w:firstLine="567"/>
        <w:jc w:val="both"/>
      </w:pPr>
      <w:r>
        <w:rPr>
          <w:rFonts w:ascii="Arial" w:cs="Arial" w:eastAsia="Arial" w:hAnsi="Arial"/>
          <w:sz w:val="24"/>
          <w:szCs w:val="24"/>
        </w:rPr>
        <w:t xml:space="preserve">Кредитная информация должна быть достоверной и актуальной, основанной на фактических данных, и в соответствии с условиями договора, заключенного между банком и клиентом.</w:t>
      </w:r>
    </w:p>
    <w:p>
      <w:pPr>
        <w:spacing w:after="60"/>
        <w:ind w:firstLine="567"/>
        <w:jc w:val="both"/>
      </w:pPr>
      <w:r>
        <w:rPr>
          <w:rFonts w:ascii="Arial" w:cs="Arial" w:eastAsia="Arial" w:hAnsi="Arial"/>
          <w:sz w:val="24"/>
          <w:szCs w:val="24"/>
        </w:rPr>
        <w:t xml:space="preserve">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 а также основные условия, права и обязанности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банком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 о своевременном сообщении кредитному бюро об изменениях и обновлениях кредитной информации, за которую Банк несет ответственность;</w:t>
      </w:r>
    </w:p>
    <w:p>
      <w:pPr>
        <w:spacing w:after="60"/>
        <w:ind w:firstLine="567"/>
        <w:jc w:val="both"/>
      </w:pPr>
      <w:r>
        <w:rPr>
          <w:rFonts w:ascii="Arial" w:cs="Arial" w:eastAsia="Arial" w:hAnsi="Arial"/>
          <w:sz w:val="24"/>
          <w:szCs w:val="24"/>
        </w:rPr>
        <w:t xml:space="preserve">- о внесении изменения в кредитную информацию, переданную кредитному бюро, в случае искажения представленной информации, в том числе и по требованию субъекта кредитной информации;</w:t>
      </w:r>
    </w:p>
    <w:p>
      <w:pPr>
        <w:spacing w:after="60"/>
        <w:ind w:firstLine="567"/>
        <w:jc w:val="both"/>
      </w:pPr>
      <w:r>
        <w:rPr>
          <w:rFonts w:ascii="Arial" w:cs="Arial" w:eastAsia="Arial" w:hAnsi="Arial"/>
          <w:sz w:val="24"/>
          <w:szCs w:val="24"/>
        </w:rPr>
        <w:t xml:space="preserve">- об обеспечении бесперебойного функционирования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кредитной информации, передаваемой в кредитное бюро, а также за полноту передаваемой информации, за своевременность передачи, в том числе относительно всех клиентов/партнеров,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Банк также должен провести собеседование с потенциальным клиентом/партнером с целью разъяснения последствий неисполнения или ненадлежащего исполнения принятых им обязательств по договору финансирования (о чем клиент/партнер расписывается в договоре финансирования) и определения и/или уточнения факторов, указанных в пункте 34 настоящего Положения. Ответственность за соблюдение требований, указанных в пункте 34 настоящего Положения, несут лица, уполномоченные на принятие решения о выдаче актива, несущего в себе кредитный риск.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После проведения анализа заявки на получение актива, несущего в себе кредитный риск, специалист по финансированию банка должен составить заключение, в котором необходимо обосновать целесообразность предоставления клиенту/партнеру актива, несущего в себе кредитный риск, и представить его на рассмотрение Комитета по финансированию вместе с заявкой клиента/партнера на получение актива, несущего в себе кредитный риск, и другими необходимыми документами, предоставленными клиентом/партнером по запросу банка согласно требованиям настоящего Положения и внутренним документам банка.</w:t>
      </w:r>
    </w:p>
    <w:p>
      <w:pPr>
        <w:spacing w:after="60"/>
        <w:ind w:firstLine="567"/>
        <w:jc w:val="both"/>
      </w:pPr>
      <w:r>
        <w:rPr>
          <w:rFonts w:ascii="Arial" w:cs="Arial" w:eastAsia="Arial" w:hAnsi="Arial"/>
          <w:sz w:val="24"/>
          <w:szCs w:val="24"/>
        </w:rPr>
        <w:t xml:space="preserve">В случае отказа в выдаче актива, несущего в себе кредитный риск, специалист по финансированию в заключении должен обосновать это решение с указанием причин отказа, а также уведомить клиента/партнера о принятом решении в соответствии с установленным в банке порядком.</w:t>
      </w:r>
    </w:p>
    <w:p>
      <w:pPr>
        <w:spacing w:after="60"/>
        <w:ind w:firstLine="567"/>
        <w:jc w:val="both"/>
      </w:pPr>
      <w:r>
        <w:rPr>
          <w:rFonts w:ascii="Arial" w:cs="Arial" w:eastAsia="Arial" w:hAnsi="Arial"/>
          <w:sz w:val="24"/>
          <w:szCs w:val="24"/>
        </w:rPr>
        <w:t xml:space="preserve">Результат, выданный внутренним рейтингом рисков банка, содержащий значение рейтинга о целесообразности/нецелесообразности предоставления клиенту/партнеру финансирования, может рассматриваться как заключение по финансированию.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72rzviqkft5oicmnx-cy">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Если сумма, указанная в заявке, не превышает сумму, которую уполномочены выдавать сотрудники, входящие в первый уровень ответственности, и в случае положительного решения начинается процесс оформления предоставления актива, несущего в себе кредитный риск.</w:t>
      </w:r>
    </w:p>
    <w:p>
      <w:pPr>
        <w:spacing w:after="60"/>
        <w:ind w:firstLine="567"/>
        <w:jc w:val="both"/>
      </w:pPr>
      <w:r>
        <w:rPr>
          <w:rFonts w:ascii="Arial" w:cs="Arial" w:eastAsia="Arial" w:hAnsi="Arial"/>
          <w:sz w:val="24"/>
          <w:szCs w:val="24"/>
        </w:rPr>
        <w:t xml:space="preserve">38. В случае, если сумма, указанная в заявке, превышает сумму, которую уполномочены выдавать сотрудники первого уровня, то заключение сотрудника первого уровня представляется на рассмотрение сотрудников или коллегиального органа соответствующего уровня, в чьи полномочия входит решение вопроса о предоставлении активов, несущих в себе кредитный риск, на такую сумму. На основании этой рекомендации сотрудники данного уполномоченного уровня должны окончательно решить вопрос о выдаче этого актива. При необходимости заключение может быть отправлено на доработку, или могут быть затребованы дополнительные сведения о клиенте/партнере, либо проведено собственное изучение клиента/партнера, включая проведение с ним дополнительных бесед.</w:t>
      </w:r>
    </w:p>
    <w:p>
      <w:pPr>
        <w:spacing w:after="60"/>
        <w:ind w:firstLine="567"/>
        <w:jc w:val="both"/>
      </w:pPr>
      <w:r>
        <w:rPr>
          <w:rFonts w:ascii="Arial" w:cs="Arial" w:eastAsia="Arial" w:hAnsi="Arial"/>
          <w:sz w:val="24"/>
          <w:szCs w:val="24"/>
        </w:rPr>
        <w:t xml:space="preserve">Решение о выдаче актива, несущего в себе кредитный риск, принимается после полного изучения всех документов.</w:t>
      </w:r>
    </w:p>
    <w:p>
      <w:pPr>
        <w:spacing w:after="60"/>
        <w:ind w:firstLine="567"/>
        <w:jc w:val="both"/>
      </w:pPr>
      <w:r>
        <w:rPr>
          <w:rFonts w:ascii="Arial" w:cs="Arial" w:eastAsia="Arial" w:hAnsi="Arial"/>
          <w:sz w:val="24"/>
          <w:szCs w:val="24"/>
        </w:rPr>
        <w:t xml:space="preserve">38-1. Банк может выдать клиенту финансирование в национальной валюте на потребительские цели только в случае, если соотношение планируемых ежемесячных платежей по активу, несущему в себе кредитный риск (основной долг и наценка/доход), к среднемесячному совокупному доходу клиента составляет менее 50 процентов.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38-2. Банк не может выдавать финансирование на ипотеку (приобретение/строительство жилья по договорам мурабаха, истиснаа и др.) и на потребительские цели в иностранной валюте клиенту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лимитов финансирования на платежные карты в иностранной валюте под залог депозита. При этом если депозит в той же валюте, что и финансирование, то он должен покрывать сумму финансирования не менее чем на 100%, а депозит в валюте, отличной от валюты финансирования, - не менее чем на 120% в сомовом эквиваленте. Не допускается индексирование платежей по такому финансированию в привязке к валюте, отличной от валюты договора по финансированию.</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38-3. Банк вправе выдавать актив, несущий в себе кредитный риск, через удаленный/дистанционный канал обслуживания, при условии соблюдения требований, указанных в Положении "О минимальных требованиях по предоставлению удаленного/дистанционного обслуживания в Кыргызской Республике", утвержденном постановлением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60"/>
        <w:ind w:firstLine="567"/>
        <w:jc w:val="both"/>
      </w:pPr>
      <w:r>
        <w:rPr>
          <w:rFonts w:ascii="Arial" w:cs="Arial" w:eastAsia="Arial" w:hAnsi="Arial"/>
          <w:sz w:val="24"/>
          <w:szCs w:val="24"/>
        </w:rPr>
        <w:t xml:space="preserve">Сумма выдаваемого актива, несущего в себе кредитный риск, через удаленный/дистанционный канал обслуживания не должна превышать 100000 сом (эквивалент в иностранной валюте) по договору, подписанному простой электронной подписью, и 200000 сом (эквивалент в иностранной валюте) по договору, подписанному усиленной электронной подписью.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марта 2021 года № 2021-П-12/14-5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В случае, если вопрос о выдаче клиенту/партнеру актива, несущего в себе кредитный риск, решен положительно, то из полученных от него документов формируется досье клиента/партнера, в которое в дальнейшем должны подшиваться все документы, касающиеся как данного актива, несущего в себе кредитный риск, так и всех последующих активов, несущих в себе кредитный риск, если таковые будут выдаваться ему в будущем (минимальные требования к досье клиента/партнера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активам, несущим в себе кредитный риск, выданным через удаленный/дистанционный канал обслуживания, досье клиента/партнера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досье клиента/партнера также должен вестись учет всех встреч, бесед и телефонных переговоров с клиентом/партнером, прилагаться все заключения по проверкам наличия и состояния залога, указываться краткое содержание и результаты переговоров, а также вся переписка, связанная с данным активом, несущим в себе кредитный риск.</w:t>
      </w:r>
    </w:p>
    <w:p>
      <w:pPr>
        <w:spacing w:after="200" w:before="200"/>
        <w:jc w:val="center"/>
      </w:pPr>
      <w:r>
        <w:rPr>
          <w:rFonts w:ascii="Arial" w:cs="Arial" w:eastAsia="Arial" w:hAnsi="Arial"/>
          <w:b/>
          <w:bCs/>
          <w:sz w:val="24"/>
          <w:szCs w:val="24"/>
        </w:rPr>
        <w:t xml:space="preserve">§ 2. Заключение договора финансирования</w:t>
      </w:r>
    </w:p>
    <w:p>
      <w:pPr>
        <w:spacing w:after="60"/>
        <w:ind w:firstLine="567"/>
        <w:jc w:val="both"/>
      </w:pPr>
      <w:r>
        <w:rPr>
          <w:rFonts w:ascii="Arial" w:cs="Arial" w:eastAsia="Arial" w:hAnsi="Arial"/>
          <w:sz w:val="24"/>
          <w:szCs w:val="24"/>
        </w:rPr>
        <w:t xml:space="preserve">41. После принятия положительного решения о предоставлении клиенту/партнеру актива, несущего в себе кредитный риск, и обсуждения с ним всех условий с клиентом/партнером заключается договор, соответствующий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Договор с приложением к нему перечня прав, расходов (платежей) клиентов/партнеров банка, заключаемый между банком и клиентом/партнером, а также другие соглашения, заключаемые между банком и клиентом/партнером, по согласованию составляются на государственном или официальном языке (при необходимости текст договора может быть переведен на другой язык). Права и обязанности клиента/партнера, вытекающие из условий договора, должны быть отражены в отдельном разделе. Шрифт, используемый в договоре со всеми приложениями, должен быть одинаковым по всему тексту договора. Размер шрифта должен быть не менее 12.</w:t>
      </w:r>
    </w:p>
    <w:p>
      <w:pPr>
        <w:spacing w:after="60"/>
        <w:ind w:firstLine="567"/>
        <w:jc w:val="both"/>
      </w:pPr>
      <w:r>
        <w:rPr>
          <w:rFonts w:ascii="Arial" w:cs="Arial" w:eastAsia="Arial" w:hAnsi="Arial"/>
          <w:sz w:val="24"/>
          <w:szCs w:val="24"/>
        </w:rPr>
        <w:t xml:space="preserve">При этом договоры по активам, несущим в себе кредитный риск,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При заключении договора следует оговорить все условия, на которых выдается и будет погашаться актив, несущий в себе кредитный риск, для того, чтобы в дальнейшем избежать возможных проблем с возвратностью. При этом банк не вправе в одностороннем порядке менять первоначальные условия договора, если это ухудшает права и/или увеличивает обязанности клиента/партнера. При составлении совместно с клиентом/партнером графика планового погашения актива, несущего в себе кредитный риск и наценки/дохода по нему, целесообразно ориентироваться на цель актива, несущего в себе кредитный риск и специфику бизнеса клиента/партнера, представленные им и проверенные банком бизнес-план и примерный прогноз движения денежных средств. График погашения задолженности, как минимум, должен включать сумму актива, наценку по активу, дату выдачи, даты плановых погашений с указанием сумм плановых погашений по основной сумме и по наценке, и остатков задолженности по активу. График погашения задолженности является неотъемлемой частью договора о предоставлении финансирования. Не требуется график погашения задолженности по продуктам финансирования, по которым его составление не предусматривается (овердрафты по платежным картам в рамках зарплатных проектов, линии финансирования и т.п.).</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договоре, как минимум, указывается: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период действия договора;</w:t>
      </w:r>
    </w:p>
    <w:p>
      <w:pPr>
        <w:spacing w:after="60"/>
        <w:ind w:firstLine="567"/>
        <w:jc w:val="both"/>
      </w:pPr>
      <w:r>
        <w:rPr>
          <w:rFonts w:ascii="Arial" w:cs="Arial" w:eastAsia="Arial" w:hAnsi="Arial"/>
          <w:sz w:val="24"/>
          <w:szCs w:val="24"/>
        </w:rPr>
        <w:t xml:space="preserve">- основные условия предоставления актива, несущего в себе кредитный риск, сумма, срок погашения, обеспечение, наценка/доход по нему и методы расчета, форма предоставления актива: наличная (через кассу) или безналичная (в том числе на счет клиента/партнера, посредством использования банковских платежных карт и др.);</w:t>
      </w:r>
    </w:p>
    <w:p>
      <w:pPr>
        <w:spacing w:after="60"/>
        <w:ind w:firstLine="567"/>
        <w:jc w:val="both"/>
      </w:pPr>
      <w:r>
        <w:rPr>
          <w:rFonts w:ascii="Arial" w:cs="Arial" w:eastAsia="Arial" w:hAnsi="Arial"/>
          <w:sz w:val="24"/>
          <w:szCs w:val="24"/>
        </w:rPr>
        <w:t xml:space="preserve">- целевое назначение актива, несущего в себе кредитный риск;</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право клиента на досрочное погашение актива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При этом указанное условие устанавливает срок, по истечении которого (после направления уведомления) клиент может произвести досрочное погашение актива.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60"/>
        <w:ind w:firstLine="567"/>
        <w:jc w:val="both"/>
      </w:pPr>
      <w:r>
        <w:rPr>
          <w:rFonts w:ascii="Arial" w:cs="Arial" w:eastAsia="Arial" w:hAnsi="Arial"/>
          <w:sz w:val="24"/>
          <w:szCs w:val="24"/>
        </w:rPr>
        <w:t xml:space="preserve">- условия предоставления информации о клиенте/партнере в кредитное бюро, а также иные случаи использования данных о клиенте в соответствии с законодательством;</w:t>
      </w:r>
    </w:p>
    <w:p>
      <w:pPr>
        <w:spacing w:after="60"/>
        <w:ind w:firstLine="567"/>
        <w:jc w:val="both"/>
      </w:pPr>
      <w:r>
        <w:rPr>
          <w:rFonts w:ascii="Arial" w:cs="Arial" w:eastAsia="Arial" w:hAnsi="Arial"/>
          <w:sz w:val="24"/>
          <w:szCs w:val="24"/>
        </w:rPr>
        <w:t xml:space="preserve">- санкции за нарушение какой-либо стороной своих обязательств, случаи и условия расторжения договора.</w:t>
      </w:r>
    </w:p>
    <w:p>
      <w:pPr>
        <w:spacing w:after="60"/>
        <w:ind w:firstLine="567"/>
        <w:jc w:val="both"/>
      </w:pPr>
      <w:r>
        <w:rPr>
          <w:rFonts w:ascii="Arial" w:cs="Arial" w:eastAsia="Arial" w:hAnsi="Arial"/>
          <w:sz w:val="24"/>
          <w:szCs w:val="24"/>
        </w:rPr>
        <w:t xml:space="preserve">В случае досрочного погашения актива, несущего в себе кредитный риск, одним из участников ГСО в своей части, он продолжает нести солидарную ответственность по договору поручительства до полного погашения актива,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актив, несущий в себе кредитный риск, в своей части, может быть освобожден от солидарной ответственности.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клиента/партнера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финансирования;</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денежных средств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договору и/или иных соглашений.</w:t>
      </w:r>
    </w:p>
    <w:p>
      <w:pPr>
        <w:spacing w:after="60"/>
        <w:ind w:firstLine="567"/>
        <w:jc w:val="both"/>
      </w:pPr>
      <w:r>
        <w:rPr>
          <w:rFonts w:ascii="Arial" w:cs="Arial" w:eastAsia="Arial" w:hAnsi="Arial"/>
          <w:sz w:val="24"/>
          <w:szCs w:val="24"/>
        </w:rPr>
        <w:t xml:space="preserve">Неотъемлемой частью договора между банком и клиентом/партнером является перечень расходов (платежей) клиентов/партнеров банка и штрафных санкций, который составляется в табличной форме в соответствии с </w:t>
      </w:r>
      <w:r>
        <w:rPr>
          <w:rFonts w:ascii="Arial" w:cs="Arial" w:eastAsia="Arial" w:hAnsi="Arial"/>
          <w:sz w:val="24"/>
          <w:szCs w:val="24"/>
        </w:rPr>
        <w:t xml:space="preserve">Приложением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договоре финансирования запрещается включение дополнительных сборов, комиссионных и других платежей, помимо публикуемых или установленных банком,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 а также иных сопутствующих услуг на платной основе, вне зависимости от договоренности с клиентом/партнером.</w:t>
      </w:r>
    </w:p>
    <w:p>
      <w:pPr>
        <w:spacing w:after="60"/>
        <w:ind w:firstLine="567"/>
        <w:jc w:val="both"/>
      </w:pPr>
      <w:r>
        <w:rPr>
          <w:rFonts w:ascii="Arial" w:cs="Arial" w:eastAsia="Arial" w:hAnsi="Arial"/>
          <w:sz w:val="24"/>
          <w:szCs w:val="24"/>
        </w:rPr>
        <w:t xml:space="preserve">Банк должен предоставить и ознакомить клиента с указанным перечнем и при необходимости предоставить клиенту/партнеру разъяснения по порядку расчетов актива, несущего в себе кредитный риск, пени, штрафа, порядку получения/погашения актива,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актив получен в иностранной валюте, а ожидаемый доход (или его часть) - в национальной валюте, и др., а также получить согласие клиента/партнера,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выплате наценки по основной сумме финансирования и/или просрочке по выплате основной суммы финансирования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клиента/партнера банка, связанные с предоставлением, использованием и возвратом актива, несущего в себе кредитный риск, согласно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клиента/партнера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договор должен содержать:</w:t>
      </w:r>
    </w:p>
    <w:p>
      <w:pPr>
        <w:spacing w:after="60"/>
        <w:ind w:firstLine="567"/>
        <w:jc w:val="both"/>
      </w:pPr>
      <w:r>
        <w:rPr>
          <w:rFonts w:ascii="Arial" w:cs="Arial" w:eastAsia="Arial" w:hAnsi="Arial"/>
          <w:sz w:val="24"/>
          <w:szCs w:val="24"/>
        </w:rPr>
        <w:t xml:space="preserve">- обязанность банков предоставлять в течение 3 (трех) рабочих дней по запросу клиента/партнера информацию о получении им актива, несущего в себе кредитный риск, и о соблюдении условий договора клиентом/партнером по данному активу, несущему в себе кредитный риск, для ее предоставления в другую финансово-кредитную организацию, а также предоставлять четкую и точную информацию о счете клиента/партнера (выписки со счета, чека, состояние баланса, подтверждение платежа по финансированию и другую необходимую информацию);</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(пятнадцати) дней с момента направления извещения о начале процедуры обращения взыскания на предмет залога по активу, несущему в себе кредитный риск, клиента/партнера - физического лица, в том числе индивидуального предпринимателя без образования юридического лица. Штрафные санкции и пени могут применяться в случаях, предусмотренных стандартами шариата. Размер неустойки (штрафов, пени), начисленной за весь период действия финансирования, не должен превышать 20 (двадцати) процентов от суммы выданного финансирования. При этом денежные средства, полученные в виде неустойки (штрафа, пени), должны быть направлены на благотворительные цели в организации, не аффилированные с финансово-кредитной организацией;</w:t>
      </w:r>
    </w:p>
    <w:p>
      <w:pPr>
        <w:spacing w:after="60"/>
        <w:ind w:firstLine="567"/>
        <w:jc w:val="both"/>
      </w:pPr>
      <w:r>
        <w:rPr>
          <w:rFonts w:ascii="Arial" w:cs="Arial" w:eastAsia="Arial" w:hAnsi="Arial"/>
          <w:sz w:val="24"/>
          <w:szCs w:val="24"/>
        </w:rPr>
        <w:t xml:space="preserve">- обязанность клиента/партнера физического лица, в том числе индивидуального предпринимателя, предоставлять информацию о наличии кредитов и активов, несущих в себе кредитный риск, в других финансово-кредитных организациях, включая кредиты и активы, несущие кредитный риск, супруга(и), родителей и детей, и о соблюдении кредитной дисциплины по данным кредитам и активам не реже чем один раз в полгода.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46.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14 октября 2015 года № 62/4)</w:t>
      </w:r>
    </w:p>
    <w:p>
      <w:pPr>
        <w:spacing w:after="60"/>
        <w:ind w:firstLine="567"/>
        <w:jc w:val="both"/>
      </w:pPr>
      <w:r>
        <w:rPr>
          <w:rFonts w:ascii="Arial" w:cs="Arial" w:eastAsia="Arial" w:hAnsi="Arial"/>
          <w:sz w:val="24"/>
          <w:szCs w:val="24"/>
        </w:rPr>
        <w:t xml:space="preserve">47. В договоре важно предусмотреть периодическое предоставление клиентом/партнером финансовой отчетности и/или других финансовых документов, подтверждающих использование клиентом/партнером актива, несущего в себе кредитный риск, по целевому назначению.</w:t>
      </w:r>
    </w:p>
    <w:p>
      <w:pPr>
        <w:spacing w:after="60"/>
        <w:ind w:firstLine="567"/>
        <w:jc w:val="both"/>
      </w:pPr>
      <w:r>
        <w:rPr>
          <w:rFonts w:ascii="Arial" w:cs="Arial" w:eastAsia="Arial" w:hAnsi="Arial"/>
          <w:sz w:val="24"/>
          <w:szCs w:val="24"/>
        </w:rPr>
        <w:t xml:space="preserve">Примечание: При выявлении фактов использования клиентом/партнером финансирования по нецелевому назначению банк вправе применить штрафные санкции по финансированию. При этом внутренними документами банка должны быть предусмотрены нормы, устанавливающие четкие правила по мерам ответственности клиента/партнера, в том числе применение штрафных санкций по финансированию. В этом случае денежные средства, полученные в виде штрафных санкций, должны быть направлены на благотворительные цели в организации, не аффилированные с финансово-кредитным учреждением.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 договоре должны быть предусмотрены условия наступления непреодолимой силы (форс-мажор) и порядок действий в этом случае.</w:t>
      </w:r>
    </w:p>
    <w:p>
      <w:pPr>
        <w:spacing w:after="60"/>
        <w:ind w:firstLine="567"/>
        <w:jc w:val="both"/>
      </w:pPr>
      <w:r>
        <w:rPr>
          <w:rFonts w:ascii="Arial" w:cs="Arial" w:eastAsia="Arial" w:hAnsi="Arial"/>
          <w:sz w:val="24"/>
          <w:szCs w:val="24"/>
        </w:rPr>
        <w:t xml:space="preserve">Форс-мажорные обстоятельства могут включать, но не ограничиваются, такие события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военные действия и т.п.</w:t>
      </w:r>
    </w:p>
    <w:p>
      <w:pPr>
        <w:spacing w:after="60"/>
        <w:ind w:firstLine="567"/>
        <w:jc w:val="both"/>
      </w:pPr>
      <w:r>
        <w:rPr>
          <w:rFonts w:ascii="Arial" w:cs="Arial" w:eastAsia="Arial" w:hAnsi="Arial"/>
          <w:sz w:val="24"/>
          <w:szCs w:val="24"/>
        </w:rPr>
        <w:t xml:space="preserve">49. Каждый лист договора со всеми приложениями должен быть подписан клиентом/партнером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sz w:val="24"/>
          <w:szCs w:val="24"/>
        </w:rPr>
        <w:t xml:space="preserve">Банком должна быть получена расписка от клиента/партнера или клиентом/партнером должна быть произведена надпись на договоре, либо в форме единого электронного документа, подписанного посредством электронной подписи, о том, что клиент/партнер ознакомился со всеми условиями договора, условия договора ему понятны и клиент/партнер с ними согласен. Расписка (если она была получена) подшивается/хранится в досье клиента/партнера.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Договор не должен противоречить законодательству Кыргызской Республики, в том числе нормативным правовым актам Национального банка. Банк должен получить расписку клиента/партнера о получении клиентом/партнером оригинала договора, либо электронный документ, подписанный посредством электронной подписи. Факт получения клиентом/партнером денежных средств должен быть подтвержден соответствующим документом.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50-1. Если договор линии финансирования содержит норму, согласно которой после получения первой части линии финансирования аннулируется право клиента/партнера на получение оставшейся части линии финансирования или аннулируется обязательство банка по выдаче оставшейся части линии финансирования, и при этом банк не создает резервов на покрытие потенциальных потерь и убытков на забалансовые обязательства по линии финансирования, то банк обязан, начиная с выдачи второй части линии финансирования и при каждой очередной выдаче части линии финансирования, собирать пакет необходимых документов (пункты 4, 5, 11, 15, 18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Положению и отчет о целевом использовании предыдущей части линии финансирования) для проведения повторного анализа, при этом могут быть использованы ранее представленные документы клиента/партнера, если они представлялись не более шести месяцев назад. При этом вопрос о выдаче очередной части линии финансирования должен решаться уполномоченным органом/лицами в соответствии с политикой финансирования банка. Вместе с тем, в договоре о финансировании должна быть подпись, что клиент ознакомился со всеми условиями предоставления линии финансирования, условия договора понятны и клиент/партнер с ними согласен.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3. Обеспечение возврата актива, несущего в себе кредитный риск</w:t>
      </w:r>
    </w:p>
    <w:p>
      <w:pPr>
        <w:spacing w:after="60"/>
        <w:ind w:firstLine="567"/>
        <w:jc w:val="both"/>
      </w:pPr>
      <w:r>
        <w:rPr>
          <w:rFonts w:ascii="Arial" w:cs="Arial" w:eastAsia="Arial" w:hAnsi="Arial"/>
          <w:sz w:val="24"/>
          <w:szCs w:val="24"/>
        </w:rPr>
        <w:t xml:space="preserve">51. Банковские активы, несущие в себе кредитный риск, могут быть обеспеченными или предоставляться без обеспечения.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целях настоящего Положения источники погашения актива, несущего в себе кредитный риск, подразделяются на первичные и вторичные:</w:t>
      </w:r>
    </w:p>
    <w:p>
      <w:pPr>
        <w:spacing w:after="60"/>
        <w:ind w:firstLine="567"/>
        <w:jc w:val="both"/>
      </w:pPr>
      <w:r>
        <w:rPr>
          <w:rFonts w:ascii="Arial" w:cs="Arial" w:eastAsia="Arial" w:hAnsi="Arial"/>
          <w:sz w:val="24"/>
          <w:szCs w:val="24"/>
        </w:rPr>
        <w:t xml:space="preserve">1) первичным источником являются денежные средства, направляемые клиентом/партнером на погашение актива, несущего в себе кредитный риск, и при нормальном развитии событий получаемые в процессе производства, оказания услуг, работ и т.д.: доходы в наличной и безналичной формах - для юридических лиц и заработная плата или другие поступления - для физических лиц;</w:t>
      </w:r>
    </w:p>
    <w:p>
      <w:pPr>
        <w:spacing w:after="60"/>
        <w:ind w:firstLine="567"/>
        <w:jc w:val="both"/>
      </w:pPr>
      <w:r>
        <w:rPr>
          <w:rFonts w:ascii="Arial" w:cs="Arial" w:eastAsia="Arial" w:hAnsi="Arial"/>
          <w:sz w:val="24"/>
          <w:szCs w:val="24"/>
        </w:rPr>
        <w:t xml:space="preserve">2) вторичным источником являются средства, полученные от реализации заложенного имущества, имущества банка (актива, несущего в себе кредитный риск), приобретенного банком в рамках финансирования клиента/партнера, перечисление средств поручителем или гарантом.</w:t>
      </w:r>
    </w:p>
    <w:p>
      <w:pPr>
        <w:spacing w:after="60"/>
        <w:ind w:firstLine="567"/>
        <w:jc w:val="both"/>
      </w:pPr>
      <w:r>
        <w:rPr>
          <w:rFonts w:ascii="Arial" w:cs="Arial" w:eastAsia="Arial" w:hAnsi="Arial"/>
          <w:sz w:val="24"/>
          <w:szCs w:val="24"/>
        </w:rPr>
        <w:t xml:space="preserve">53. При рассмотрении заявки на финансирование и утверждении условий предоставления финансирования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актива, несущего в себе кредитный риск, основное внимание необходимо уделять анализу денежных потоков клиента/партнера, перспективам развития отрасли и бизнеса данного клиента/партнера, в том числе анализу кредитного риска, обусловленного валютным риском (если финансирование выдано в иностранной валюте), состоянию отношений клиента/партнера с поставщиками и покупателями. Трансграничная деятельность регулируется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Вторичные источники необходимы для обеспечения дополнительных гарантий возврата актива, несущего в себе кредитный риск, в случае, если возникнут проблемы с возвратом. К числу такого обеспечения относится: право собственности банка на актив, приобретенный банком в рамках финансирования клиента, залог имущества и прав, уступка требований и прав, гарантии и поручительства, солидарная ответственность группы лиц на основании письменного договора и другие способы обеспечения, предусмотренные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В целях снижения кредитного риска Комитет банка по финансированию может обратиться в Шариатский совет, который в каждом отдельном случае может дать рекомендации об обеспечении возврата актива, несущего в себе кредитный риск.</w:t>
      </w:r>
    </w:p>
    <w:p>
      <w:pPr>
        <w:spacing w:after="60"/>
        <w:ind w:firstLine="567"/>
        <w:jc w:val="both"/>
      </w:pPr>
      <w:r>
        <w:rPr>
          <w:rFonts w:ascii="Arial" w:cs="Arial" w:eastAsia="Arial" w:hAnsi="Arial"/>
          <w:sz w:val="24"/>
          <w:szCs w:val="24"/>
        </w:rPr>
        <w:t xml:space="preserve">55. Залог имущества, как вторичный источник погашения актива, несущего в себе кредитный риск, оформляется договором о залоге, подписанным сторонами и подтверждающим право банка при неисполнении клиентом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В случае принятия от клиента в качестве залога недвижимого имущества квартиры или дома, принадлежащего клиенту на праве собственности и являющегося единственным жильем клиента (согласно представленной письменной информации клиента, отраженной, к примеру, в заявке клиента), в котором также проживают и прописаны члены его семьи, банку следует обратить особое внимание на трудоустройство и доходы членов семьи клиента, достигших трудоспособного возраста, а также на различные риски, связанные с выдачей активов, несущих в себе кредитный риск, в указанном случае.</w:t>
      </w:r>
    </w:p>
    <w:p>
      <w:pPr>
        <w:spacing w:after="60"/>
        <w:ind w:firstLine="567"/>
        <w:jc w:val="both"/>
      </w:pPr>
      <w:r>
        <w:rPr>
          <w:rFonts w:ascii="Arial" w:cs="Arial" w:eastAsia="Arial" w:hAnsi="Arial"/>
          <w:sz w:val="24"/>
          <w:szCs w:val="24"/>
        </w:rPr>
        <w:t xml:space="preserve">56. Договор о залоге составляется на государственном или официальном языке (с предоставлением права выбора языка клиенту банка), при этом текст договора о залоге должен быть ясным и доступным для восприятия и понимания клиентами.</w:t>
      </w:r>
    </w:p>
    <w:p>
      <w:pPr>
        <w:spacing w:after="60"/>
        <w:ind w:firstLine="567"/>
        <w:jc w:val="both"/>
      </w:pPr>
      <w:r>
        <w:rPr>
          <w:rFonts w:ascii="Arial" w:cs="Arial" w:eastAsia="Arial" w:hAnsi="Arial"/>
          <w:sz w:val="24"/>
          <w:szCs w:val="24"/>
        </w:rPr>
        <w:t xml:space="preserve">57. В договоре о залоге, как минимум, указываются:</w:t>
      </w:r>
    </w:p>
    <w:p>
      <w:pPr>
        <w:spacing w:after="60"/>
        <w:ind w:firstLine="567"/>
        <w:jc w:val="both"/>
      </w:pPr>
      <w:r>
        <w:rPr>
          <w:rFonts w:ascii="Arial" w:cs="Arial" w:eastAsia="Arial" w:hAnsi="Arial"/>
          <w:sz w:val="24"/>
          <w:szCs w:val="24"/>
        </w:rPr>
        <w:t xml:space="preserve">- предмет залога и его залоговая стоимость (с учетом залогового коэффициента);</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в случае залога недвижимого имущества или имущества, подлежащего регистрации, - право, в силу которого такое имущество принадлежит залогодателю, с указанием реквизитов правоустанавливающего документа;</w:t>
      </w:r>
    </w:p>
    <w:p>
      <w:pPr>
        <w:spacing w:after="60"/>
        <w:ind w:firstLine="567"/>
        <w:jc w:val="both"/>
      </w:pPr>
      <w:r>
        <w:rPr>
          <w:rFonts w:ascii="Arial" w:cs="Arial" w:eastAsia="Arial" w:hAnsi="Arial"/>
          <w:sz w:val="24"/>
          <w:szCs w:val="24"/>
        </w:rPr>
        <w:t xml:space="preserve">- размер и срок исполнения обязательства, обеспечиваемого залогом;</w:t>
      </w:r>
    </w:p>
    <w:p>
      <w:pPr>
        <w:spacing w:after="60"/>
        <w:ind w:firstLine="567"/>
        <w:jc w:val="both"/>
      </w:pPr>
      <w:r>
        <w:rPr>
          <w:rFonts w:ascii="Arial" w:cs="Arial" w:eastAsia="Arial" w:hAnsi="Arial"/>
          <w:sz w:val="24"/>
          <w:szCs w:val="24"/>
        </w:rPr>
        <w:t xml:space="preserve">- указание на то, у какой из сторон находится заложенное имущество;</w:t>
      </w:r>
    </w:p>
    <w:p>
      <w:pPr>
        <w:spacing w:after="60"/>
        <w:ind w:firstLine="567"/>
        <w:jc w:val="both"/>
      </w:pPr>
      <w:r>
        <w:rPr>
          <w:rFonts w:ascii="Arial" w:cs="Arial" w:eastAsia="Arial" w:hAnsi="Arial"/>
          <w:sz w:val="24"/>
          <w:szCs w:val="24"/>
        </w:rPr>
        <w:t xml:space="preserve">- условия и порядок перехода залога в собственность банка в случае невозврата клиентом/партнером актива, несущего в себе кредитный риск;</w:t>
      </w:r>
    </w:p>
    <w:p>
      <w:pPr>
        <w:spacing w:after="60"/>
        <w:ind w:firstLine="567"/>
        <w:jc w:val="both"/>
      </w:pPr>
      <w:r>
        <w:rPr>
          <w:rFonts w:ascii="Arial" w:cs="Arial" w:eastAsia="Arial" w:hAnsi="Arial"/>
          <w:sz w:val="24"/>
          <w:szCs w:val="24"/>
        </w:rPr>
        <w:t xml:space="preserve">- другие требования и обязанности сторон по отношению к залогу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осуществляющих государственную регистрацию залога.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К договору о залоге прилагается полная опись залогового имущества с указанием стоимости. Сертификаты, удостоверения и прочая необходимая техническая документация может быть приложена к договору о залоге. Договор о залоге должен быть оформлен в соответствии с законодательством Кыргызской Республики, а в случаях, если залог обеспечивает обязательства по договору, подлежащему нотариальному удостоверению, он должен быть нотариально удостоверен. Количество подлинных экземпляров должно быть не менее, чем число заключивших договор сторон.</w:t>
      </w:r>
    </w:p>
    <w:p>
      <w:pPr>
        <w:spacing w:after="60"/>
        <w:ind w:firstLine="567"/>
        <w:jc w:val="both"/>
      </w:pPr>
      <w:r>
        <w:rPr>
          <w:rFonts w:ascii="Arial" w:cs="Arial" w:eastAsia="Arial" w:hAnsi="Arial"/>
          <w:sz w:val="24"/>
          <w:szCs w:val="24"/>
        </w:rPr>
        <w:t xml:space="preserve">59. Если актив, несущий в себе кредитный риск, выдается под залог депозита клиента/партнера, содержащегося в этом же банке, целесообразно принимать в залог депозиты на сумму, равную сумме актива, несущего в себе кредитный риск (и расчетной наценки/дохода по нему), а также оговорить в договоре о залоге, что банк вправе в безакцептном порядке обратить на них взыскание в случае неисполнения клиентом/партнером своих обязательств.</w:t>
      </w:r>
    </w:p>
    <w:p>
      <w:pPr>
        <w:spacing w:after="60"/>
        <w:ind w:firstLine="567"/>
        <w:jc w:val="both"/>
      </w:pPr>
      <w:r>
        <w:rPr>
          <w:rFonts w:ascii="Arial" w:cs="Arial" w:eastAsia="Arial" w:hAnsi="Arial"/>
          <w:sz w:val="24"/>
          <w:szCs w:val="24"/>
        </w:rPr>
        <w:t xml:space="preserve">60. В случае, если условием предоставления актива, несущего в себе кредитный риск, является одновременное размещение части актива, несущего в себе кредитный риск, в виде депозита в банке, являющегося залоговым обеспечением по активу, несущему в себе кредитный риск, и при этом наценка/доход рассчитываются и взимаются банком с общей суммы актива, несущего в себе кредитный риск, без вычета суммы размещенного депозита, то доход клиента по такому депозиту должен быть на уровне наценки/дохода по данному активу, несущему в себе кредитный риск.</w:t>
      </w:r>
    </w:p>
    <w:p>
      <w:pPr>
        <w:spacing w:after="60"/>
        <w:ind w:firstLine="567"/>
        <w:jc w:val="both"/>
      </w:pPr>
      <w:r>
        <w:rPr>
          <w:rFonts w:ascii="Arial" w:cs="Arial" w:eastAsia="Arial" w:hAnsi="Arial"/>
          <w:sz w:val="24"/>
          <w:szCs w:val="24"/>
        </w:rPr>
        <w:t xml:space="preserve">Данный депозит должен быть использован банком для погашения платежей по активу, несущему в себе кредитный риск, что должно быть закреплено в договоре о залоге (закладе) депозита. При этом платежи по активу, несущему в себе кредитный риск (включая платежи по основной сумме и по наценке/доходу) не считаются просроченными и банк не вправе применять штрафные санкции к клиенту, если платежи по активу, несущему в себе кредитный риск, не выплачиваются клиентом в срок не более 30 дней.</w:t>
      </w:r>
    </w:p>
    <w:p>
      <w:pPr>
        <w:spacing w:after="60"/>
        <w:ind w:firstLine="567"/>
        <w:jc w:val="both"/>
      </w:pPr>
      <w:r>
        <w:rPr>
          <w:rFonts w:ascii="Arial" w:cs="Arial" w:eastAsia="Arial" w:hAnsi="Arial"/>
          <w:sz w:val="24"/>
          <w:szCs w:val="24"/>
        </w:rPr>
        <w:t xml:space="preserve">61.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 целью ограничить себя от возможных претензий со стороны клиента/партнера, неудовлетворенного реализованной стоимостью залога, банку рекомендуется предоставить возможность клиенту/партнеру самостоятельно осуществить поиск покупателя на предмет залога (недвижимое имущество), в течение одного или более месяца после истечения срока добровольного исполнения обязательств, указанного в извещений согласно законодательству Кыргызской Республики.</w:t>
      </w:r>
    </w:p>
    <w:p>
      <w:pPr>
        <w:spacing w:after="60"/>
        <w:ind w:firstLine="567"/>
        <w:jc w:val="both"/>
      </w:pPr>
      <w:r>
        <w:rPr>
          <w:rFonts w:ascii="Arial" w:cs="Arial" w:eastAsia="Arial" w:hAnsi="Arial"/>
          <w:sz w:val="24"/>
          <w:szCs w:val="24"/>
        </w:rPr>
        <w:t xml:space="preserve">61-1. При оказании услуг по финансированию банк в соответствии с договором о залоге, являющимся неотъемлемой частью договора финансирования, должен предоставить клиенту/партнеру и/или залогодателю преимущественное право на выкуп залогового имущества, в соответствии с которым клиент/партнер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Если обеспечением актива, несущего в себе кредитный риск, выступают гарантии и поручительства, то имущественную ответственность за клиента/партнера в случае, когда он не может платить, несет, как правило, третье лицо. При выдаче актива, несущего в себе кредитный риск и обеспеченного гарантией либо поручительством, банк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 Также следует тщательно проверить достоверность подписей и правомочность лиц, поставивших свои подписи.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Активы, несущие в себе кредитный риск,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считаются бланковыми, и выдаются исключительно платежеспособному клиенту/партнеру (только резиденту) на основании его репутации и оценки уровня его доходов. Выдача бланковых активов, несущих в себе кредитный риск, не должна быть распространенной практикой. Максимальный размер риска по бланковым активам не должен превышать 50 процентов размера чистого суммарного капитала банка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27 декабря 2019 года № 2019-П-12/68-3-(НПА).</w:t>
      </w:r>
    </w:p>
    <w:p>
      <w:pPr>
        <w:spacing w:after="60"/>
        <w:ind w:firstLine="567"/>
        <w:jc w:val="both"/>
      </w:pPr>
      <w:r>
        <w:rPr>
          <w:rFonts w:ascii="Arial" w:cs="Arial" w:eastAsia="Arial" w:hAnsi="Arial"/>
          <w:sz w:val="24"/>
          <w:szCs w:val="24"/>
        </w:rPr>
        <w:t xml:space="preserve">При выдаче бланковых активов, несущих в себе кредитный риск, банк должен иметь доступ к качественной финансовой отчетности клиента, соответствующей законодательству Кыргызской Республики, его кредитной истории и иметь историю работы по финансированию этого клиента/партнера в течение длительного (как минимум двух лет) (за исключением активов в размере не более 250000 сом, длительность которых должна быть как минимум 12 месяцев) времени, предшествующего выдаче бланкового актива, несущего в себе кредитный риск.</w:t>
      </w:r>
    </w:p>
    <w:p>
      <w:pPr>
        <w:spacing w:after="60"/>
        <w:ind w:firstLine="567"/>
        <w:jc w:val="both"/>
      </w:pPr>
      <w:r>
        <w:rPr>
          <w:rFonts w:ascii="Arial" w:cs="Arial" w:eastAsia="Arial" w:hAnsi="Arial"/>
          <w:sz w:val="24"/>
          <w:szCs w:val="24"/>
        </w:rPr>
        <w:t xml:space="preserve">Исключения из бланковых активов, несущих в себе кредитный риск, составляют активы, которые выдаются на сумму меньше или равную 150000 сом, с аннуитетным графиком погашения и сроком не более чем 24 месяцев и активы, выданные через удаленный/дистанционный канал обслуживания, соответствующие указанным условиям. Сумма таких активов не должна превышать годовую чистую платежеспособность клиента/партнера (все доходы и расходы клиента/партнера). Максимальный размер риска по активам, исключенным из расчета бланковых активов не должен превышать 20 (двадцати) процентов от бланковых активов.</w:t>
      </w:r>
    </w:p>
    <w:p>
      <w:pPr>
        <w:spacing w:after="60"/>
        <w:ind w:firstLine="567"/>
        <w:jc w:val="both"/>
      </w:pPr>
      <w:r>
        <w:rPr>
          <w:rFonts w:ascii="Arial" w:cs="Arial" w:eastAsia="Arial" w:hAnsi="Arial"/>
          <w:sz w:val="24"/>
          <w:szCs w:val="24"/>
        </w:rPr>
        <w:t xml:space="preserve">Примечание: В максимальный размер риска по бланковым активам также должны включаться все активы, несущие в себе кредитный риск, не обеспеченные залогом, выданные до даты вступления в силу постановления Правления Национального банка от "___" ___________ 20__ года № ___ и не соответствующие требованиям, указанным в данном постановлении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Банк вправе выдавать активы, несущие в себе кредитный риск, под поручительство членов ГСО (далее - групповые активы, несущие в себе кредитный риск) только:</w:t>
      </w:r>
    </w:p>
    <w:p>
      <w:pPr>
        <w:spacing w:after="60"/>
        <w:ind w:firstLine="567"/>
        <w:jc w:val="both"/>
      </w:pPr>
      <w:r>
        <w:rPr>
          <w:rFonts w:ascii="Arial" w:cs="Arial" w:eastAsia="Arial" w:hAnsi="Arial"/>
          <w:sz w:val="24"/>
          <w:szCs w:val="24"/>
        </w:rPr>
        <w:t xml:space="preserve">- при наличии политики (может быть составной частью политики) по финансированию групповых активов, несущих в себе кредитный риск, одобренной Шариатским советом и Советом директоров банка, и других внутренних документов (процедура рассмотрения/одобрения/отказа заявок, процесса финансирования групповых активов, несущих в себе кредитный риск, условия мониторинга, классификации групповых активов, несущих в себе кредитный риск, информирование членов группы правилам обращения с информацией о дате выдачи и погашения финансирования и возможных проблемах с погашением задолженности по активу). При этом в политике должно быть прописано, что актив выдается лицам, доход которых является достаточным для покрытия платежей по активу, несущему в себе кредитный риск, согласно графику погашения. Во внутренних документах банка, регламентирующих работу с групповыми активами, несущими в себе кредитный риск, должны быть описаны потенциальные риски, свойственные данному виду банковского продукта, а также предусмотрены методы и способы снижения данных рисков и обеспечения высокой возвратности групповых активов, несущих в себе кредитный риск;</w:t>
      </w:r>
    </w:p>
    <w:p>
      <w:pPr>
        <w:spacing w:after="60"/>
        <w:ind w:firstLine="567"/>
        <w:jc w:val="both"/>
      </w:pPr>
      <w:r>
        <w:rPr>
          <w:rFonts w:ascii="Arial" w:cs="Arial" w:eastAsia="Arial" w:hAnsi="Arial"/>
          <w:sz w:val="24"/>
          <w:szCs w:val="24"/>
        </w:rPr>
        <w:t xml:space="preserve">- после согласования с Национальным банком в письменной форме намерения банка выдавать групповые активы, несущие в себе кредитный риск;</w:t>
      </w:r>
    </w:p>
    <w:p>
      <w:pPr>
        <w:spacing w:after="60"/>
        <w:ind w:firstLine="567"/>
        <w:jc w:val="both"/>
      </w:pPr>
      <w:r>
        <w:rPr>
          <w:rFonts w:ascii="Arial" w:cs="Arial" w:eastAsia="Arial" w:hAnsi="Arial"/>
          <w:sz w:val="24"/>
          <w:szCs w:val="24"/>
        </w:rPr>
        <w:t xml:space="preserve">- при наличии квалифицированного персонала, имеющего опыт в данном секторе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Банк вправе осуществлять расчет норматива максимального размера риска по бланковым активам, несущим в себе кредитный риск, в части группового финансирования в соответствии с пунктом 66 настоящего Положения, при соблюдении всех следующих условий:</w:t>
      </w:r>
    </w:p>
    <w:p>
      <w:pPr>
        <w:spacing w:after="60"/>
        <w:ind w:firstLine="567"/>
        <w:jc w:val="both"/>
      </w:pPr>
      <w:r>
        <w:rPr>
          <w:rFonts w:ascii="Arial" w:cs="Arial" w:eastAsia="Arial" w:hAnsi="Arial"/>
          <w:sz w:val="24"/>
          <w:szCs w:val="24"/>
        </w:rPr>
        <w:t xml:space="preserve">- при наличии положительного опыта банка по предоставлению групповых активов, несущих в себе кредитный риск, под поручительство членов ГСО составляет не менее двух лет;</w:t>
      </w:r>
    </w:p>
    <w:p>
      <w:pPr>
        <w:spacing w:after="60"/>
        <w:ind w:firstLine="567"/>
        <w:jc w:val="both"/>
      </w:pPr>
      <w:r>
        <w:rPr>
          <w:rFonts w:ascii="Arial" w:cs="Arial" w:eastAsia="Arial" w:hAnsi="Arial"/>
          <w:sz w:val="24"/>
          <w:szCs w:val="24"/>
        </w:rPr>
        <w:t xml:space="preserve">- если доля просроченных групповых активов, несущих в себе кредитный риск, от общего объема групповых активов, несущих в себе кредитный риск, в течение двух лет не превышала 5 процентов.</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65-1. Требования пункта 65 настоящего Положения не распространяются на расчет норматива максимального размера риска по бланковым активам для банков, в которых доля групповых активов, несущих в себе кредитный риск, от общего портфеля финансирования составляет 5% и менее, а также для банков, которые утвердили стратегию (план) по снижению портфеля групповых активов до 5% и менее в срок до 31 декабря 2021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w08pwgjdqdyqfdjwue9m">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При расчете норматива максимального размера риска по бланковым активам, несущим в себе кредитный риск, исключаются групповые активы, несущие в себе кредитный риск, предоставленные под солидарную ответственность членов ГСО, если они отвечают всем следующим критериям:</w:t>
      </w:r>
    </w:p>
    <w:p>
      <w:pPr>
        <w:spacing w:after="60"/>
        <w:ind w:firstLine="567"/>
        <w:jc w:val="both"/>
      </w:pPr>
      <w:r>
        <w:rPr>
          <w:rFonts w:ascii="Arial" w:cs="Arial" w:eastAsia="Arial" w:hAnsi="Arial"/>
          <w:sz w:val="24"/>
          <w:szCs w:val="24"/>
        </w:rPr>
        <w:t xml:space="preserve">- сумма актива, несущего в себе кредитный риск, выданная каждому отдельному члену группы, не превышает 250000 сом, а совокупная сумма финансирования, выданная ГСО, составляет не более 1500000 сомов;</w:t>
      </w:r>
    </w:p>
    <w:p>
      <w:pPr>
        <w:spacing w:after="60"/>
        <w:ind w:firstLine="567"/>
        <w:jc w:val="both"/>
      </w:pPr>
      <w:r>
        <w:rPr>
          <w:rFonts w:ascii="Arial" w:cs="Arial" w:eastAsia="Arial" w:hAnsi="Arial"/>
          <w:sz w:val="24"/>
          <w:szCs w:val="24"/>
        </w:rPr>
        <w:t xml:space="preserve">- участники ГСО, которые получили финансирование в банке, не являются аффилированными лицами или связанными с банком лицами банка;</w:t>
      </w:r>
    </w:p>
    <w:p>
      <w:pPr>
        <w:spacing w:after="60"/>
        <w:ind w:firstLine="567"/>
        <w:jc w:val="both"/>
      </w:pPr>
      <w:r>
        <w:rPr>
          <w:rFonts w:ascii="Arial" w:cs="Arial" w:eastAsia="Arial" w:hAnsi="Arial"/>
          <w:sz w:val="24"/>
          <w:szCs w:val="24"/>
        </w:rPr>
        <w:t xml:space="preserve">- банк применяет в отношении групповых активов, несущих в себе кредитный риск, специальную классификацию активов и расчета соответствующих отчислений в резерв на покрытие потенциальных потерь и убытков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 марта 2006 года N 5/6.</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hyperlink w:history="1" r:id="rId9x1ps0ml2eezeaqrj_j2r">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66-1. При расчете норматива максимального размера риска по бланковым активам, несущим в себе кредитный риск, исключаются активы в форме контрактного финансирования, которые отвечают всем следующим критериям:</w:t>
      </w:r>
    </w:p>
    <w:p>
      <w:pPr>
        <w:spacing w:after="60"/>
        <w:ind w:firstLine="567"/>
        <w:jc w:val="both"/>
      </w:pPr>
      <w:r>
        <w:rPr>
          <w:rFonts w:ascii="Arial" w:cs="Arial" w:eastAsia="Arial" w:hAnsi="Arial"/>
          <w:sz w:val="24"/>
          <w:szCs w:val="24"/>
        </w:rPr>
        <w:t xml:space="preserve">- остаток задолженности по активу в форме контрактного финансирования составляет не более 3% от общего объема портфеля финансирования банка;</w:t>
      </w:r>
    </w:p>
    <w:p>
      <w:pPr>
        <w:spacing w:after="60"/>
        <w:ind w:firstLine="567"/>
        <w:jc w:val="both"/>
      </w:pPr>
      <w:r>
        <w:rPr>
          <w:rFonts w:ascii="Arial" w:cs="Arial" w:eastAsia="Arial" w:hAnsi="Arial"/>
          <w:sz w:val="24"/>
          <w:szCs w:val="24"/>
        </w:rPr>
        <w:t xml:space="preserve">- доля просроченных активов, выданных в форме контрактного финансирования, в общем объеме портфеля финансирования составляет в течение последних 6 (шести) месяцев не более 1%, а в общем объеме данных активов, несущих в себе кредитный риск, в течение последних 12 (двенадцати) месяцев не превышает 2%;</w:t>
      </w:r>
    </w:p>
    <w:p>
      <w:pPr>
        <w:spacing w:after="60"/>
        <w:ind w:firstLine="567"/>
        <w:jc w:val="both"/>
      </w:pPr>
      <w:r>
        <w:rPr>
          <w:rFonts w:ascii="Arial" w:cs="Arial" w:eastAsia="Arial" w:hAnsi="Arial"/>
          <w:sz w:val="24"/>
          <w:szCs w:val="24"/>
        </w:rPr>
        <w:t xml:space="preserve">- расчеты между клиентом/партнером и его контрагентами по контрактному финансированию осуществляются только через счета клиента/партнера в данном банке;</w:t>
      </w:r>
    </w:p>
    <w:p>
      <w:pPr>
        <w:spacing w:after="60"/>
        <w:ind w:firstLine="567"/>
        <w:jc w:val="both"/>
      </w:pPr>
      <w:r>
        <w:rPr>
          <w:rFonts w:ascii="Arial" w:cs="Arial" w:eastAsia="Arial" w:hAnsi="Arial"/>
          <w:sz w:val="24"/>
          <w:szCs w:val="24"/>
        </w:rPr>
        <w:t xml:space="preserve">- клиент/партнер, получивший актив, несущий в себе кредитный риск, его гарант/поручитель (если имеется), а также контрагент данного клиента/партнера не являются связанными с банком лицами или аффилированными лицами банка.</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____________ 20__ года № ___.</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oyya5jdexai4egcnicpw">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Мониторинг активов, несущих в себе кредитный риск</w:t>
      </w:r>
    </w:p>
    <w:p>
      <w:pPr>
        <w:spacing w:after="60"/>
        <w:ind w:firstLine="567"/>
        <w:jc w:val="both"/>
      </w:pPr>
      <w:r>
        <w:rPr>
          <w:rFonts w:ascii="Arial" w:cs="Arial" w:eastAsia="Arial" w:hAnsi="Arial"/>
          <w:sz w:val="24"/>
          <w:szCs w:val="24"/>
        </w:rPr>
        <w:t xml:space="preserve">67. После заключения договора и получения клиентом/партнером актива, несущего в себе кредитный риск, банку необходимо осуществлять постоянный мониторинг актива, несущего в себе кредитный риск, и состояния клиента/партнера. Главная цель мониторинга состоит в обеспечении своевременного погашения актива, несущего в себе кредитный риск, выплаты наценки/дохода и в выявлении проблем на ранней стадии.</w:t>
      </w:r>
    </w:p>
    <w:p>
      <w:pPr>
        <w:spacing w:after="60"/>
        <w:ind w:firstLine="567"/>
        <w:jc w:val="both"/>
      </w:pPr>
      <w:r>
        <w:rPr>
          <w:rFonts w:ascii="Arial" w:cs="Arial" w:eastAsia="Arial" w:hAnsi="Arial"/>
          <w:sz w:val="24"/>
          <w:szCs w:val="24"/>
        </w:rPr>
        <w:t xml:space="preserve">Сумма произведенного платежа, недостаточная для исполнения обязательства по финансированию полностью, погашает, прежде всего, основную сумму долга, затем - издержки кредитора по получению исполнения, а в оставшейся части - наценку/доходы и неустойку.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активы,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клиента/партнера.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68-1. Банк должен периодически проводить мониторинг действующих активов. Периодичность мониторинга (в том числе с выездом) актива устанавливается банком самостоятельно в зависимости от суммы и вида актива, а также от его категории классификации. При этом банк должен проводить мониторинг с выездом:</w:t>
      </w:r>
    </w:p>
    <w:p>
      <w:pPr>
        <w:spacing w:after="60"/>
        <w:ind w:firstLine="567"/>
        <w:jc w:val="both"/>
      </w:pPr>
      <w:r>
        <w:rPr>
          <w:rFonts w:ascii="Arial" w:cs="Arial" w:eastAsia="Arial" w:hAnsi="Arial"/>
          <w:sz w:val="24"/>
          <w:szCs w:val="24"/>
        </w:rPr>
        <w:t xml:space="preserve">- не реже одного раза в полгода для активов, сумма которых превышает один процент от чистого суммарного капитала банка;</w:t>
      </w:r>
    </w:p>
    <w:p>
      <w:pPr>
        <w:spacing w:after="60"/>
        <w:ind w:firstLine="567"/>
        <w:jc w:val="both"/>
      </w:pPr>
      <w:r>
        <w:rPr>
          <w:rFonts w:ascii="Arial" w:cs="Arial" w:eastAsia="Arial" w:hAnsi="Arial"/>
          <w:sz w:val="24"/>
          <w:szCs w:val="24"/>
        </w:rPr>
        <w:t xml:space="preserve">- не реже одного раза в год для остальных активов, за исключением активов до 100000 сомов. По активам до 100000 сомов проводится платежный мониторинг, предполагающий анализ на основе произведенных платежей по активу.</w:t>
      </w:r>
    </w:p>
    <w:p>
      <w:pPr>
        <w:spacing w:after="60"/>
        <w:ind w:firstLine="567"/>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актива, несущего в себе кредитный риск,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клиентом/партнером обязательства и взысканию задолженности с гаранта/поручителя.</w:t>
      </w:r>
    </w:p>
    <w:p>
      <w:pPr>
        <w:spacing w:after="60"/>
        <w:ind w:firstLine="567"/>
        <w:jc w:val="both"/>
      </w:pPr>
      <w:r>
        <w:rPr>
          <w:rFonts w:ascii="Arial" w:cs="Arial" w:eastAsia="Arial" w:hAnsi="Arial"/>
          <w:sz w:val="24"/>
          <w:szCs w:val="24"/>
        </w:rPr>
        <w:t xml:space="preserve">В отчете о мониторинге актива в течение предстоящего периода погашения актива (в случае средне- и долгосрочного актива - в течение предстоящих 12 месяцев) должны быть отражены изменения ожидаемых доходов (выручки) клиента/партнера (для активов в иностранной валюте), изменения в деятельности клиента/партнера, действующий статус актива, соблюдение условий договора о финансировании, а при мониторинге залога - его состояние, обеспечение его сохранности, а также другие события и факторы в целях определения способности клиента/партнера своевременно погасить актив.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hyperlink w:history="1" r:id="rId9jigiccow6mnng52cjmrv">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68-2. Банк, предоставляющий активы другим финансово-кредитным организациям, должен проводить тщательный анализ достоверности информации, предоставляемой клиентом/партнером этих финансово-кредитных организаций, а также проводить тщательный мониторинг (в том числе с выездом) таких активов.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68-4. К отчету по мониторингу должны быть приложены подтверждающие документы. При выявлении проблемы специалист по финансированию должен оперативно сообщить о ней руководству банка, при необходимости, с предложением пересмотреть категорию классификации данного актива, несущего в себе кредитный риск. При просрочке платежей по активу, несущему в себе кредитный риск или при ухудшении классификации актива, несущего в себе кредитный риск, необходимо проводить мониторинг такого актива (как минимум, анализ текущего финансового положения клиента/партнера, контакт с клиентом/партнером) не реже одного раза в месяц.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Классификация активов, несущих в себе кредитный риск, осуществляется на основе независимой оценки, проведенной лицами, не участвующими в процессе выдачи активов.</w:t>
      </w:r>
    </w:p>
    <w:p>
      <w:pPr>
        <w:spacing w:after="60"/>
        <w:ind w:firstLine="567"/>
        <w:jc w:val="both"/>
      </w:pPr>
      <w:r>
        <w:rPr>
          <w:rFonts w:ascii="Arial" w:cs="Arial" w:eastAsia="Arial" w:hAnsi="Arial"/>
          <w:sz w:val="24"/>
          <w:szCs w:val="24"/>
        </w:rPr>
        <w:t xml:space="preserve">70. Банк должен разработать и внедрить систему независимой оценки активов, несущих в себе кредитный риск, которая должна основываться на:</w:t>
      </w:r>
    </w:p>
    <w:p>
      <w:pPr>
        <w:spacing w:after="60"/>
        <w:ind w:firstLine="567"/>
        <w:jc w:val="both"/>
      </w:pPr>
      <w:r>
        <w:rPr>
          <w:rFonts w:ascii="Arial" w:cs="Arial" w:eastAsia="Arial" w:hAnsi="Arial"/>
          <w:sz w:val="24"/>
          <w:szCs w:val="24"/>
        </w:rPr>
        <w:t xml:space="preserve">- реальном графике платежей клиента/партнера и его соответствии плановому графику;</w:t>
      </w:r>
    </w:p>
    <w:p>
      <w:pPr>
        <w:spacing w:after="60"/>
        <w:ind w:firstLine="567"/>
        <w:jc w:val="both"/>
      </w:pPr>
      <w:r>
        <w:rPr>
          <w:rFonts w:ascii="Arial" w:cs="Arial" w:eastAsia="Arial" w:hAnsi="Arial"/>
          <w:sz w:val="24"/>
          <w:szCs w:val="24"/>
        </w:rPr>
        <w:t xml:space="preserve">- качестве и состоянии обеспечения по активу, несущему в себе кредитный риск;</w:t>
      </w:r>
    </w:p>
    <w:p>
      <w:pPr>
        <w:spacing w:after="60"/>
        <w:ind w:firstLine="567"/>
        <w:jc w:val="both"/>
      </w:pPr>
      <w:r>
        <w:rPr>
          <w:rFonts w:ascii="Arial" w:cs="Arial" w:eastAsia="Arial" w:hAnsi="Arial"/>
          <w:sz w:val="24"/>
          <w:szCs w:val="24"/>
        </w:rPr>
        <w:t xml:space="preserve">- полноте соответствующей документации и возможности получить в свое распоряжение любое предоставленное обеспечение и реализовать право на судебную защиту своих нарушенных прав и интересов;</w:t>
      </w:r>
    </w:p>
    <w:p>
      <w:pPr>
        <w:spacing w:after="60"/>
        <w:ind w:firstLine="567"/>
        <w:jc w:val="both"/>
      </w:pPr>
      <w:r>
        <w:rPr>
          <w:rFonts w:ascii="Arial" w:cs="Arial" w:eastAsia="Arial" w:hAnsi="Arial"/>
          <w:sz w:val="24"/>
          <w:szCs w:val="24"/>
        </w:rPr>
        <w:t xml:space="preserve">- оценке изменений финансового положения клиента/партнера, в том числе, если финансирование выдано в иностранной валюте;</w:t>
      </w:r>
    </w:p>
    <w:p>
      <w:pPr>
        <w:spacing w:after="60"/>
        <w:ind w:firstLine="567"/>
        <w:jc w:val="both"/>
      </w:pPr>
      <w:r>
        <w:rPr>
          <w:rFonts w:ascii="Arial" w:cs="Arial" w:eastAsia="Arial" w:hAnsi="Arial"/>
          <w:sz w:val="24"/>
          <w:szCs w:val="24"/>
        </w:rPr>
        <w:t xml:space="preserve">- правильности оценки качества актива, несущего в себе кредитный риск, включая его классификацию;</w:t>
      </w:r>
    </w:p>
    <w:p>
      <w:pPr>
        <w:spacing w:after="60"/>
        <w:ind w:firstLine="567"/>
        <w:jc w:val="both"/>
      </w:pPr>
      <w:r>
        <w:rPr>
          <w:rFonts w:ascii="Arial" w:cs="Arial" w:eastAsia="Arial" w:hAnsi="Arial"/>
          <w:sz w:val="24"/>
          <w:szCs w:val="24"/>
        </w:rPr>
        <w:t xml:space="preserve">- соблюдении лимитов выданных активов, несущих в себе кредитный риск;</w:t>
      </w:r>
    </w:p>
    <w:p>
      <w:pPr>
        <w:spacing w:after="60"/>
        <w:ind w:firstLine="567"/>
        <w:jc w:val="both"/>
      </w:pPr>
      <w:r>
        <w:rPr>
          <w:rFonts w:ascii="Arial" w:cs="Arial" w:eastAsia="Arial" w:hAnsi="Arial"/>
          <w:sz w:val="24"/>
          <w:szCs w:val="24"/>
        </w:rPr>
        <w:t xml:space="preserve">- качестве и достоверности информационных систем (отчетности руководству, Совету директоров банка и Шариатскому совету);</w:t>
      </w:r>
    </w:p>
    <w:p>
      <w:pPr>
        <w:spacing w:after="60"/>
        <w:ind w:firstLine="567"/>
        <w:jc w:val="both"/>
      </w:pPr>
      <w:r>
        <w:rPr>
          <w:rFonts w:ascii="Arial" w:cs="Arial" w:eastAsia="Arial" w:hAnsi="Arial"/>
          <w:sz w:val="24"/>
          <w:szCs w:val="24"/>
        </w:rPr>
        <w:t xml:space="preserve">- оценке соответствия предоставленного актива, несущего в себе кредитный риск, политике банка, процедурам и нормативным требованиям Национального банка;</w:t>
      </w:r>
    </w:p>
    <w:p>
      <w:pPr>
        <w:spacing w:after="60"/>
        <w:ind w:firstLine="567"/>
        <w:jc w:val="both"/>
      </w:pPr>
      <w:r>
        <w:rPr>
          <w:rFonts w:ascii="Arial" w:cs="Arial" w:eastAsia="Arial" w:hAnsi="Arial"/>
          <w:sz w:val="24"/>
          <w:szCs w:val="24"/>
        </w:rPr>
        <w:t xml:space="preserve">- оценке соответствия стандартам Шариата;</w:t>
      </w:r>
    </w:p>
    <w:p>
      <w:pPr>
        <w:spacing w:after="60"/>
        <w:ind w:firstLine="567"/>
        <w:jc w:val="both"/>
      </w:pPr>
      <w:r>
        <w:rPr>
          <w:rFonts w:ascii="Arial" w:cs="Arial" w:eastAsia="Arial" w:hAnsi="Arial"/>
          <w:sz w:val="24"/>
          <w:szCs w:val="24"/>
        </w:rPr>
        <w:t xml:space="preserve">- оценке целевого использования актива, несущего в себе кредитный риск, подтвержденной документами (договоры, акты приемки, счета-фактуры, накладные и т.п.) при их наличии, в зависимости от целей финансирования, за исключением актива в размере не более 250000 сом.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Независимая оценка активов, несущих в себе кредитный риск, должна проводиться самостоятельным отделом либо сотрудником банка, независимым от процесса предоставления активов, несущих в себе кредитный риск. Независимая оценка активов на соответствие стандартам Шариата должна проводиться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Результаты независимой оценки должны предоставляться не реже одного раза в месяц Комитету по финансированию, Правлению, Совету директоров банка и Шариатскому совету банка.</w:t>
      </w:r>
    </w:p>
    <w:p>
      <w:pPr>
        <w:spacing w:after="60"/>
        <w:ind w:firstLine="567"/>
        <w:jc w:val="both"/>
      </w:pPr>
      <w:r>
        <w:rPr>
          <w:rFonts w:ascii="Arial" w:cs="Arial" w:eastAsia="Arial" w:hAnsi="Arial"/>
          <w:sz w:val="24"/>
          <w:szCs w:val="24"/>
        </w:rPr>
        <w:t xml:space="preserve">72. В случае, если в качестве единственного обеспечения выступает гарантия (поручительство), за исключением групповых активов,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политикой по финансированию и залоговой политикой и зависит от качества актива и других факторов, в том числе от вида залога с учетом риска потери. Мониторинг залога в виде движимого имущества должен проводиться по активу, несущему в себе кредитный риск, сумма которого менее 250000 сом, не реже одного раза в год.</w:t>
      </w:r>
    </w:p>
    <w:p>
      <w:pPr>
        <w:spacing w:after="60"/>
        <w:ind w:firstLine="567"/>
        <w:jc w:val="both"/>
      </w:pPr>
      <w:r>
        <w:rPr>
          <w:rFonts w:ascii="Arial" w:cs="Arial" w:eastAsia="Arial" w:hAnsi="Arial"/>
          <w:sz w:val="24"/>
          <w:szCs w:val="24"/>
        </w:rPr>
        <w:t xml:space="preserve">По активу, несущему в себе кредитный риск, сумма которого составляет 250000 и более сом, мониторинг залога в виде движимого имущества должен проводиться:</w:t>
      </w:r>
    </w:p>
    <w:p>
      <w:pPr>
        <w:spacing w:after="60"/>
        <w:ind w:firstLine="567"/>
        <w:jc w:val="both"/>
      </w:pPr>
      <w:r>
        <w:rPr>
          <w:rFonts w:ascii="Arial" w:cs="Arial" w:eastAsia="Arial" w:hAnsi="Arial"/>
          <w:sz w:val="24"/>
          <w:szCs w:val="24"/>
        </w:rPr>
        <w:t xml:space="preserve">- не реже одного раза в полгода, если актив обеспечен на 30 и более процентов движимым имуществом;</w:t>
      </w:r>
    </w:p>
    <w:p>
      <w:pPr>
        <w:spacing w:after="60"/>
        <w:ind w:firstLine="567"/>
        <w:jc w:val="both"/>
      </w:pPr>
      <w:r>
        <w:rPr>
          <w:rFonts w:ascii="Arial" w:cs="Arial" w:eastAsia="Arial" w:hAnsi="Arial"/>
          <w:sz w:val="24"/>
          <w:szCs w:val="24"/>
        </w:rPr>
        <w:t xml:space="preserve">- не реже одного раза в год, если актив обеспечен менее чем на 30 процентов движимым имуществом.</w:t>
      </w:r>
    </w:p>
    <w:p>
      <w:pPr>
        <w:spacing w:after="60"/>
        <w:ind w:firstLine="567"/>
        <w:jc w:val="both"/>
      </w:pPr>
      <w:r>
        <w:rPr>
          <w:rFonts w:ascii="Arial" w:cs="Arial" w:eastAsia="Arial" w:hAnsi="Arial"/>
          <w:sz w:val="24"/>
          <w:szCs w:val="24"/>
        </w:rPr>
        <w:t xml:space="preserve">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60"/>
        <w:ind w:firstLine="567"/>
        <w:jc w:val="both"/>
      </w:pPr>
      <w:r>
        <w:rPr>
          <w:rFonts w:ascii="Arial" w:cs="Arial" w:eastAsia="Arial" w:hAnsi="Arial"/>
          <w:sz w:val="24"/>
          <w:szCs w:val="24"/>
        </w:rPr>
        <w:t xml:space="preserve">- снизилась ли рыночная стоимость обеспечения;</w:t>
      </w:r>
    </w:p>
    <w:p>
      <w:pPr>
        <w:spacing w:after="60"/>
        <w:ind w:firstLine="567"/>
        <w:jc w:val="both"/>
      </w:pPr>
      <w:r>
        <w:rPr>
          <w:rFonts w:ascii="Arial" w:cs="Arial" w:eastAsia="Arial" w:hAnsi="Arial"/>
          <w:sz w:val="24"/>
          <w:szCs w:val="24"/>
        </w:rPr>
        <w:t xml:space="preserve">- имеются ли какие-либо факторы, снизившие ликвидность залога со времени последней проверки;</w:t>
      </w:r>
    </w:p>
    <w:p>
      <w:pPr>
        <w:spacing w:after="60"/>
        <w:ind w:firstLine="567"/>
        <w:jc w:val="both"/>
      </w:pPr>
      <w:r>
        <w:rPr>
          <w:rFonts w:ascii="Arial" w:cs="Arial" w:eastAsia="Arial" w:hAnsi="Arial"/>
          <w:sz w:val="24"/>
          <w:szCs w:val="24"/>
        </w:rPr>
        <w:t xml:space="preserve">- обеспечивается ли сохранность залога.</w:t>
      </w:r>
    </w:p>
    <w:p>
      <w:pPr>
        <w:spacing w:after="60"/>
        <w:ind w:firstLine="567"/>
        <w:jc w:val="both"/>
      </w:pPr>
      <w:r>
        <w:rPr>
          <w:rFonts w:ascii="Arial" w:cs="Arial" w:eastAsia="Arial" w:hAnsi="Arial"/>
          <w:sz w:val="24"/>
          <w:szCs w:val="24"/>
        </w:rPr>
        <w:t xml:space="preserve">Все эти меры помогут банку в выявлении возможных тенденций ухудшения состояния клиента/партнера, а, следовательно, и актива, несущего в себе кредитный риск. Чем быстрее будут выявлены и определены эти тенденции, тем оперативнее банк сможет принять необходимые меры по исправлению ситуации и обеспечить защиту своих интересов.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К признакам, которые свидетельствуют об ухудшении состояния актива, несущего в себе кредитный риск, относятся:</w:t>
      </w:r>
    </w:p>
    <w:p>
      <w:pPr>
        <w:spacing w:after="60"/>
        <w:ind w:firstLine="567"/>
        <w:jc w:val="both"/>
      </w:pPr>
      <w:r>
        <w:rPr>
          <w:rFonts w:ascii="Arial" w:cs="Arial" w:eastAsia="Arial" w:hAnsi="Arial"/>
          <w:sz w:val="24"/>
          <w:szCs w:val="24"/>
        </w:rPr>
        <w:t xml:space="preserve">- уклонение клиента/партнера от контактов с банком;</w:t>
      </w:r>
    </w:p>
    <w:p>
      <w:pPr>
        <w:spacing w:after="60"/>
        <w:ind w:firstLine="567"/>
        <w:jc w:val="both"/>
      </w:pPr>
      <w:r>
        <w:rPr>
          <w:rFonts w:ascii="Arial" w:cs="Arial" w:eastAsia="Arial" w:hAnsi="Arial"/>
          <w:sz w:val="24"/>
          <w:szCs w:val="24"/>
        </w:rPr>
        <w:t xml:space="preserve">- несвоевременное, неполное и неохотное предоставление информации о финансовом положении, а также подозрения о возможной недостоверности предоставляемых сведений;</w:t>
      </w:r>
    </w:p>
    <w:p>
      <w:pPr>
        <w:spacing w:after="60"/>
        <w:ind w:firstLine="567"/>
        <w:jc w:val="both"/>
      </w:pPr>
      <w:r>
        <w:rPr>
          <w:rFonts w:ascii="Arial" w:cs="Arial" w:eastAsia="Arial" w:hAnsi="Arial"/>
          <w:sz w:val="24"/>
          <w:szCs w:val="24"/>
        </w:rPr>
        <w:t xml:space="preserve">- ухудшение финансового состояния клиента/партнера;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ycazo9rgndpbwntsbp9r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 несвоевременная выплата основной суммы или наценки/дохода;</w:t>
      </w:r>
    </w:p>
    <w:p>
      <w:pPr>
        <w:spacing w:after="60"/>
        <w:ind w:firstLine="567"/>
        <w:jc w:val="both"/>
      </w:pPr>
      <w:r>
        <w:rPr>
          <w:rFonts w:ascii="Arial" w:cs="Arial" w:eastAsia="Arial" w:hAnsi="Arial"/>
          <w:sz w:val="24"/>
          <w:szCs w:val="24"/>
        </w:rPr>
        <w:t xml:space="preserve">- просьба о реструктуризации;</w:t>
      </w:r>
    </w:p>
    <w:p>
      <w:pPr>
        <w:spacing w:after="60"/>
        <w:ind w:firstLine="567"/>
        <w:jc w:val="both"/>
      </w:pPr>
      <w:r>
        <w:rPr>
          <w:rFonts w:ascii="Arial" w:cs="Arial" w:eastAsia="Arial" w:hAnsi="Arial"/>
          <w:i/>
          <w:iCs/>
          <w:sz w:val="24"/>
          <w:szCs w:val="24"/>
        </w:rPr>
        <w:t xml:space="preserve">- (абзац утратил силу в соответствии с п</w:t>
      </w:r>
      <w:hyperlink w:history="1" r:id="rId3hgplslak5yvybxqp5pvd">
        <w:r>
          <w:rPr>
            <w:rFonts w:ascii="Arial" w:cs="Arial" w:eastAsia="Arial" w:hAnsi="Arial"/>
            <w:i/>
            <w:iCs/>
            <w:color w:val="1D4ED8"/>
            <w:sz w:val="24"/>
            <w:szCs w:val="24"/>
            <w:u w:val="single"/>
          </w:rPr>
          <w:t xml:space="preserve">остановлением</w:t>
        </w:r>
      </w:hyperlink>
      <w:r>
        <w:rPr>
          <w:rFonts w:ascii="Arial" w:cs="Arial" w:eastAsia="Arial" w:hAnsi="Arial"/>
          <w:i/>
          <w:iCs/>
          <w:sz w:val="24"/>
          <w:szCs w:val="24"/>
        </w:rPr>
        <w:t xml:space="preserve"> Правления Нацбанка КР от 30 июня 2021 года № 2021-П-12/36-3) </w:t>
      </w:r>
    </w:p>
    <w:p>
      <w:pPr>
        <w:spacing w:after="60"/>
        <w:ind w:firstLine="567"/>
        <w:jc w:val="both"/>
      </w:pPr>
      <w:r>
        <w:rPr>
          <w:rFonts w:ascii="Arial" w:cs="Arial" w:eastAsia="Arial" w:hAnsi="Arial"/>
          <w:sz w:val="24"/>
          <w:szCs w:val="24"/>
        </w:rPr>
        <w:t xml:space="preserve">- передача и продажа собственности;</w:t>
      </w:r>
    </w:p>
    <w:p>
      <w:pPr>
        <w:spacing w:after="60"/>
        <w:ind w:firstLine="567"/>
        <w:jc w:val="both"/>
      </w:pPr>
      <w:r>
        <w:rPr>
          <w:rFonts w:ascii="Arial" w:cs="Arial" w:eastAsia="Arial" w:hAnsi="Arial"/>
          <w:sz w:val="24"/>
          <w:szCs w:val="24"/>
        </w:rPr>
        <w:t xml:space="preserve">- негативная информация, полученная о клиенте/партнере из каких-либо источников;</w:t>
      </w:r>
    </w:p>
    <w:p>
      <w:pPr>
        <w:spacing w:after="60"/>
        <w:ind w:firstLine="567"/>
        <w:jc w:val="both"/>
      </w:pPr>
      <w:r>
        <w:rPr>
          <w:rFonts w:ascii="Arial" w:cs="Arial" w:eastAsia="Arial" w:hAnsi="Arial"/>
          <w:sz w:val="24"/>
          <w:szCs w:val="24"/>
        </w:rPr>
        <w:t xml:space="preserve">- изменения в экономической, политической и других сферах, куда клиент/партнер поместил денежные средства;</w:t>
      </w:r>
    </w:p>
    <w:p>
      <w:pPr>
        <w:spacing w:after="60"/>
        <w:ind w:firstLine="567"/>
        <w:jc w:val="both"/>
      </w:pPr>
      <w:r>
        <w:rPr>
          <w:rFonts w:ascii="Arial" w:cs="Arial" w:eastAsia="Arial" w:hAnsi="Arial"/>
          <w:sz w:val="24"/>
          <w:szCs w:val="24"/>
        </w:rPr>
        <w:t xml:space="preserve">- признаки нарастания конфликта внутри предприятия-клиента/партнера;</w:t>
      </w:r>
    </w:p>
    <w:p>
      <w:pPr>
        <w:spacing w:after="60"/>
        <w:ind w:firstLine="567"/>
        <w:jc w:val="both"/>
      </w:pPr>
      <w:r>
        <w:rPr>
          <w:rFonts w:ascii="Arial" w:cs="Arial" w:eastAsia="Arial" w:hAnsi="Arial"/>
          <w:sz w:val="24"/>
          <w:szCs w:val="24"/>
        </w:rPr>
        <w:t xml:space="preserve">- смена руководства предприятия-клиента/партнера;</w:t>
      </w:r>
    </w:p>
    <w:p>
      <w:pPr>
        <w:spacing w:after="60"/>
        <w:ind w:firstLine="567"/>
        <w:jc w:val="both"/>
      </w:pPr>
      <w:r>
        <w:rPr>
          <w:rFonts w:ascii="Arial" w:cs="Arial" w:eastAsia="Arial" w:hAnsi="Arial"/>
          <w:sz w:val="24"/>
          <w:szCs w:val="24"/>
        </w:rPr>
        <w:t xml:space="preserve">- и другое, что может свидетельствовать о потенциальных проблемах.</w:t>
      </w:r>
    </w:p>
    <w:p>
      <w:pPr>
        <w:spacing w:after="60"/>
        <w:ind w:firstLine="567"/>
        <w:jc w:val="both"/>
      </w:pPr>
      <w:r>
        <w:rPr>
          <w:rFonts w:ascii="Arial" w:cs="Arial" w:eastAsia="Arial" w:hAnsi="Arial"/>
          <w:sz w:val="24"/>
          <w:szCs w:val="24"/>
        </w:rPr>
        <w:t xml:space="preserve">В соответствующих внутренних нормативных документах банка (политики, процедуры и др.) должны быть отражены порядок работы с проблемными активами, в том числе порядок реструктуризации активов, и проведение дополнительного анализа способности клиента/партнера погасить финансирование, а также при необходимости, предварительные условия для реструктуризации финансирования, если это не ухудшает права и не увеличивает обязанности клиента/партнера (к примеру, минимальный единовременный взнос в погашение задолженности по финансированию, предоставление клиентом/партнером документации, свидетельствующей о его способности погасить финансирование, дополнительное обеспечение и т.п.). Банку запрещается проводить реструктуризацию финансирования аффилированных лиц и связанных с банком лиц более двух раз в течение одного года.</w:t>
      </w:r>
    </w:p>
    <w:p>
      <w:pPr>
        <w:spacing w:after="60"/>
        <w:ind w:firstLine="567"/>
        <w:jc w:val="both"/>
      </w:pPr>
      <w:r>
        <w:rPr>
          <w:rFonts w:ascii="Arial" w:cs="Arial" w:eastAsia="Arial" w:hAnsi="Arial"/>
          <w:sz w:val="24"/>
          <w:szCs w:val="24"/>
        </w:rPr>
        <w:t xml:space="preserve">В случае возникновения проблем с погашением актива, клиент/партнер, должен быть информирован о политике банка по работе с проблемными активами, несущими в себе кредитный риск, в том числе о возможности реструктуризации своего актива.</w:t>
      </w:r>
    </w:p>
    <w:p>
      <w:pPr>
        <w:spacing w:after="60"/>
        <w:ind w:firstLine="567"/>
        <w:jc w:val="both"/>
      </w:pPr>
      <w:r>
        <w:rPr>
          <w:rFonts w:ascii="Arial" w:cs="Arial" w:eastAsia="Arial" w:hAnsi="Arial"/>
          <w:sz w:val="24"/>
          <w:szCs w:val="24"/>
        </w:rPr>
        <w:t xml:space="preserve">Банку требуется провести анализ проблемных клиентов/партнеров на предмет успешности (достаточность аккумулируемых средств для обслуживания долга) принятых мер, реструктуризации актива путем расширенного мониторинга.</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hyperlink w:history="1" r:id="rIdadccc-b5o6aleixslsvz2">
        <w:r>
          <w:rPr>
            <w:rFonts w:ascii="Arial" w:cs="Arial" w:eastAsia="Arial" w:hAnsi="Arial"/>
            <w:i/>
            <w:iCs/>
            <w:color w:val="1D4ED8"/>
            <w:sz w:val="24"/>
            <w:szCs w:val="24"/>
            <w:u w:val="single"/>
          </w:rPr>
          <w:t xml:space="preserve">30 июня 2021 года № 2021-П-12/36-3)</w:t>
        </w:r>
      </w:hyperlink>
    </w:p>
    <w:p>
      <w:pPr>
        <w:spacing w:after="60"/>
        <w:ind w:firstLine="567"/>
        <w:jc w:val="both"/>
      </w:pPr>
      <w:r>
        <w:rPr>
          <w:rFonts w:ascii="Arial" w:cs="Arial" w:eastAsia="Arial" w:hAnsi="Arial"/>
          <w:sz w:val="24"/>
          <w:szCs w:val="24"/>
        </w:rPr>
        <w:t xml:space="preserve">75. При выявлении каких-либо из указанных в пункте 74 настоящего Положения признаков, банку необходимо уточнить причину их появления. Если, по мнению банка, данные признаки и/или причины их появления могут привести к ухудшению состояния или значительному снижению стоимости актива, несущего в себе кредитный риск, банку следует взять данный актив под особый контроль и принять все надлежащие меры для обеспечения защиты своих интересов, такие как:</w:t>
      </w:r>
    </w:p>
    <w:p>
      <w:pPr>
        <w:spacing w:after="60"/>
        <w:ind w:firstLine="567"/>
        <w:jc w:val="both"/>
      </w:pPr>
      <w:r>
        <w:rPr>
          <w:rFonts w:ascii="Arial" w:cs="Arial" w:eastAsia="Arial" w:hAnsi="Arial"/>
          <w:sz w:val="24"/>
          <w:szCs w:val="24"/>
        </w:rPr>
        <w:t xml:space="preserve">- дополнительная проверка наличия и условий содержания залога;</w:t>
      </w:r>
    </w:p>
    <w:p>
      <w:pPr>
        <w:spacing w:after="60"/>
        <w:ind w:firstLine="567"/>
        <w:jc w:val="both"/>
      </w:pPr>
      <w:r>
        <w:rPr>
          <w:rFonts w:ascii="Arial" w:cs="Arial" w:eastAsia="Arial" w:hAnsi="Arial"/>
          <w:sz w:val="24"/>
          <w:szCs w:val="24"/>
        </w:rPr>
        <w:t xml:space="preserve">- привлечение дополнительного обеспечения;</w:t>
      </w:r>
    </w:p>
    <w:p>
      <w:pPr>
        <w:spacing w:after="60"/>
        <w:ind w:firstLine="567"/>
        <w:jc w:val="both"/>
      </w:pPr>
      <w:r>
        <w:rPr>
          <w:rFonts w:ascii="Arial" w:cs="Arial" w:eastAsia="Arial" w:hAnsi="Arial"/>
          <w:sz w:val="24"/>
          <w:szCs w:val="24"/>
        </w:rPr>
        <w:t xml:space="preserve">- предупредительные беседы;</w:t>
      </w:r>
    </w:p>
    <w:p>
      <w:pPr>
        <w:spacing w:after="60"/>
        <w:ind w:firstLine="567"/>
        <w:jc w:val="both"/>
      </w:pPr>
      <w:r>
        <w:rPr>
          <w:rFonts w:ascii="Arial" w:cs="Arial" w:eastAsia="Arial" w:hAnsi="Arial"/>
          <w:sz w:val="24"/>
          <w:szCs w:val="24"/>
        </w:rPr>
        <w:t xml:space="preserve">- приостановление очередных выплат по линии финансирования до окончательного прояснения ситуации;</w:t>
      </w:r>
    </w:p>
    <w:p>
      <w:pPr>
        <w:spacing w:after="60"/>
        <w:ind w:firstLine="567"/>
        <w:jc w:val="both"/>
      </w:pPr>
      <w:r>
        <w:rPr>
          <w:rFonts w:ascii="Arial" w:cs="Arial" w:eastAsia="Arial" w:hAnsi="Arial"/>
          <w:sz w:val="24"/>
          <w:szCs w:val="24"/>
        </w:rPr>
        <w:t xml:space="preserve">- более детальное систематизированное изучение клиента/партнера и состояния отрасли, в которую он поместил денежные средства;</w:t>
      </w:r>
    </w:p>
    <w:p>
      <w:pPr>
        <w:spacing w:after="60"/>
        <w:ind w:firstLine="567"/>
        <w:jc w:val="both"/>
      </w:pPr>
      <w:r>
        <w:rPr>
          <w:rFonts w:ascii="Arial" w:cs="Arial" w:eastAsia="Arial" w:hAnsi="Arial"/>
          <w:sz w:val="24"/>
          <w:szCs w:val="24"/>
        </w:rPr>
        <w:t xml:space="preserve">- изменение классификации активов, несущих в себе кредитный риск;</w:t>
      </w:r>
    </w:p>
    <w:p>
      <w:pPr>
        <w:spacing w:after="60"/>
        <w:ind w:firstLine="567"/>
        <w:jc w:val="both"/>
      </w:pPr>
      <w:r>
        <w:rPr>
          <w:rFonts w:ascii="Arial" w:cs="Arial" w:eastAsia="Arial" w:hAnsi="Arial"/>
          <w:sz w:val="24"/>
          <w:szCs w:val="24"/>
        </w:rPr>
        <w:t xml:space="preserve">- увеличение резерва;</w:t>
      </w:r>
    </w:p>
    <w:p>
      <w:pPr>
        <w:spacing w:after="60"/>
        <w:ind w:firstLine="567"/>
        <w:jc w:val="both"/>
      </w:pPr>
      <w:r>
        <w:rPr>
          <w:rFonts w:ascii="Arial" w:cs="Arial" w:eastAsia="Arial" w:hAnsi="Arial"/>
          <w:sz w:val="24"/>
          <w:szCs w:val="24"/>
        </w:rPr>
        <w:t xml:space="preserve">- другие меры защиты.</w:t>
      </w:r>
    </w:p>
    <w:p>
      <w:pPr>
        <w:spacing w:after="60"/>
        <w:ind w:firstLine="567"/>
        <w:jc w:val="both"/>
      </w:pPr>
      <w:r>
        <w:rPr>
          <w:rFonts w:ascii="Arial" w:cs="Arial" w:eastAsia="Arial" w:hAnsi="Arial"/>
          <w:sz w:val="24"/>
          <w:szCs w:val="24"/>
        </w:rPr>
        <w:t xml:space="preserve">При проведении работ с проблемными активами, несущими в себе кредитный риск, проведении встреч, бесед и других мероприятий, сотрудники банка должны строго придерживаться принятого делового и профессионального этикета поведения, нормы которого должны быть регламентированы во внутренних документах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При проведении работы с активом, несущим в себе кредитный риск, следует документировать и вести учет всех мероприятий, проводимых с ним, включая запись в журнале краткого содержания телефонных переговоров и встреч с клиентом, ведение протоколов проводимых с ним бесед, заключение с клиентом соглашений и т.п. Особенно важно производить такой учет в работе с "проблемными" активами.</w:t>
      </w:r>
    </w:p>
    <w:p>
      <w:pPr>
        <w:spacing w:after="200" w:before="200"/>
        <w:jc w:val="center"/>
      </w:pPr>
      <w:r>
        <w:rPr>
          <w:rFonts w:ascii="Arial" w:cs="Arial" w:eastAsia="Arial" w:hAnsi="Arial"/>
          <w:b/>
          <w:bCs/>
          <w:sz w:val="24"/>
          <w:szCs w:val="24"/>
        </w:rPr>
        <w:t xml:space="preserve">Глава 7
 Работа с "проблемными" активами, несущими в себе кредитный риск</w:t>
      </w:r>
    </w:p>
    <w:p>
      <w:pPr>
        <w:spacing w:after="60"/>
        <w:ind w:firstLine="567"/>
        <w:jc w:val="both"/>
      </w:pPr>
      <w:r>
        <w:rPr>
          <w:rFonts w:ascii="Arial" w:cs="Arial" w:eastAsia="Arial" w:hAnsi="Arial"/>
          <w:sz w:val="24"/>
          <w:szCs w:val="24"/>
        </w:rPr>
        <w:t xml:space="preserve">77. Целью постоянного мониторинга активов, несущих в себе кредитный риск, и независимой оценки портфеля финансирования является выявление "проблемных" активов.</w:t>
      </w:r>
    </w:p>
    <w:p>
      <w:pPr>
        <w:spacing w:after="60"/>
        <w:ind w:firstLine="567"/>
        <w:jc w:val="both"/>
      </w:pPr>
      <w:r>
        <w:rPr>
          <w:rFonts w:ascii="Arial" w:cs="Arial" w:eastAsia="Arial" w:hAnsi="Arial"/>
          <w:sz w:val="24"/>
          <w:szCs w:val="24"/>
        </w:rPr>
        <w:t xml:space="preserve">78. Под "проблемными" понимаются активы, несущие в себе кредитный риск, по которым клиент не выполняет условия договора с банком, либо в силу каких-либо обстоятельств (например, внешних или финансовых) ставится под угрозу выполнение обязательств перед банком и погашение актива.</w:t>
      </w:r>
    </w:p>
    <w:p>
      <w:pPr>
        <w:spacing w:after="60"/>
        <w:ind w:firstLine="567"/>
        <w:jc w:val="both"/>
      </w:pPr>
      <w:r>
        <w:rPr>
          <w:rFonts w:ascii="Arial" w:cs="Arial" w:eastAsia="Arial" w:hAnsi="Arial"/>
          <w:sz w:val="24"/>
          <w:szCs w:val="24"/>
        </w:rPr>
        <w:t xml:space="preserve">79. В случае признания актива, несущего в себе кредитный риск, "проблемным" активом, необходимо разработать план действий банка, направленный на возврат актива, который включает в себя ряд мероприятий. При этом банку необходимо изучить финансовое положение клиента/партнера путем проведения расширенного мониторинга на предмет достаточности аккумулируемых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Мероприятия по организационной, финансовой и иной помощи банка проблемному клиенту, способствующие преодолению кризиса и выполнению обязательств клиента перед банком, могут включать:</w:t>
      </w:r>
    </w:p>
    <w:p>
      <w:pPr>
        <w:spacing w:after="60"/>
        <w:ind w:firstLine="567"/>
        <w:jc w:val="both"/>
      </w:pPr>
      <w:r>
        <w:rPr>
          <w:rFonts w:ascii="Arial" w:cs="Arial" w:eastAsia="Arial" w:hAnsi="Arial"/>
          <w:sz w:val="24"/>
          <w:szCs w:val="24"/>
        </w:rPr>
        <w:t xml:space="preserve">- работу с клиентом (его руководством) по выявлению проблем и поиску их решений;</w:t>
      </w:r>
    </w:p>
    <w:p>
      <w:pPr>
        <w:spacing w:after="60"/>
        <w:ind w:firstLine="567"/>
        <w:jc w:val="both"/>
      </w:pPr>
      <w:r>
        <w:rPr>
          <w:rFonts w:ascii="Arial" w:cs="Arial" w:eastAsia="Arial" w:hAnsi="Arial"/>
          <w:sz w:val="24"/>
          <w:szCs w:val="24"/>
        </w:rPr>
        <w:t xml:space="preserve">- назначение с согласия клиента/партнера управляющих, консультантов для работы с предприятием клиента/партнера от имени банка;</w:t>
      </w:r>
    </w:p>
    <w:p>
      <w:pPr>
        <w:spacing w:after="60"/>
        <w:ind w:firstLine="567"/>
        <w:jc w:val="both"/>
      </w:pPr>
      <w:r>
        <w:rPr>
          <w:rFonts w:ascii="Arial" w:cs="Arial" w:eastAsia="Arial" w:hAnsi="Arial"/>
          <w:sz w:val="24"/>
          <w:szCs w:val="24"/>
        </w:rPr>
        <w:t xml:space="preserve">- содействие в увеличении собственного капитала компании за счет владельцев или других сторон;</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актива, несущего в себе кредитный риск, и выплате наценки/дохода по нему, изменение форм финансирования и др.);</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При реструктуризации актива, несущего в себе кредитный риск, банку необходимо рассматривать текущее финансовое состояние и степень доверия банка к клиенту/партнеру. Банк может реструктуризировать актив только в том случае, если клиент/партнер имеет реальные возможности по исполнению своих обязательств по измененным условиям своего актива,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Досье клиента/партнера, чей актив был реструктурирован, должно включать в себя всю информацию о текущем финансовом состоянии клиента/партнера и его возможности погасить актив, несущий в себе кредитный риск,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fgycr66rmiecestlj1mz">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Наряду с этими мероприятиями необходимо вести постоянную работу с самим клиентом, которая может заключаться в следующем:</w:t>
      </w:r>
    </w:p>
    <w:p>
      <w:pPr>
        <w:spacing w:after="60"/>
        <w:ind w:firstLine="567"/>
        <w:jc w:val="both"/>
      </w:pPr>
      <w:r>
        <w:rPr>
          <w:rFonts w:ascii="Arial" w:cs="Arial" w:eastAsia="Arial" w:hAnsi="Arial"/>
          <w:sz w:val="24"/>
          <w:szCs w:val="24"/>
        </w:rPr>
        <w:t xml:space="preserve">- направление уведомления клиенту о том, что он нарушил условия договора, срок актива просрочен, и о возможных проблемах, связанных с этим;</w:t>
      </w:r>
    </w:p>
    <w:p>
      <w:pPr>
        <w:spacing w:after="60"/>
        <w:ind w:firstLine="567"/>
        <w:jc w:val="both"/>
      </w:pPr>
      <w:r>
        <w:rPr>
          <w:rFonts w:ascii="Arial" w:cs="Arial" w:eastAsia="Arial" w:hAnsi="Arial"/>
          <w:sz w:val="24"/>
          <w:szCs w:val="24"/>
        </w:rPr>
        <w:t xml:space="preserve">- ведение переговоров;</w:t>
      </w:r>
    </w:p>
    <w:p>
      <w:pPr>
        <w:spacing w:after="60"/>
        <w:ind w:firstLine="567"/>
        <w:jc w:val="both"/>
      </w:pPr>
      <w:r>
        <w:rPr>
          <w:rFonts w:ascii="Arial" w:cs="Arial" w:eastAsia="Arial" w:hAnsi="Arial"/>
          <w:sz w:val="24"/>
          <w:szCs w:val="24"/>
        </w:rPr>
        <w:t xml:space="preserve">- вызов клиента в банк.</w:t>
      </w:r>
    </w:p>
    <w:p>
      <w:pPr>
        <w:spacing w:after="60"/>
        <w:ind w:firstLine="567"/>
        <w:jc w:val="both"/>
      </w:pPr>
      <w:r>
        <w:rPr>
          <w:rFonts w:ascii="Arial" w:cs="Arial" w:eastAsia="Arial" w:hAnsi="Arial"/>
          <w:sz w:val="24"/>
          <w:szCs w:val="24"/>
        </w:rPr>
        <w:t xml:space="preserve">82. В целях обеспечения непосредственного возврата актива, несущего в себе кредитный риск, в возможно краткие сроки проводятся следующие мероприятия:</w:t>
      </w:r>
    </w:p>
    <w:p>
      <w:pPr>
        <w:spacing w:after="60"/>
        <w:ind w:firstLine="567"/>
        <w:jc w:val="both"/>
      </w:pPr>
      <w:r>
        <w:rPr>
          <w:rFonts w:ascii="Arial" w:cs="Arial" w:eastAsia="Arial" w:hAnsi="Arial"/>
          <w:sz w:val="24"/>
          <w:szCs w:val="24"/>
        </w:rPr>
        <w:t xml:space="preserve">- реализация (продажа третьей стороне) актива, приобретенного банком по договору финансирования и находящегося в собственности банка;</w:t>
      </w:r>
    </w:p>
    <w:p>
      <w:pPr>
        <w:spacing w:after="60"/>
        <w:ind w:firstLine="567"/>
        <w:jc w:val="both"/>
      </w:pPr>
      <w:r>
        <w:rPr>
          <w:rFonts w:ascii="Arial" w:cs="Arial" w:eastAsia="Arial" w:hAnsi="Arial"/>
          <w:sz w:val="24"/>
          <w:szCs w:val="24"/>
        </w:rPr>
        <w:t xml:space="preserve">- обращение взыскания на предмет залога;</w:t>
      </w:r>
    </w:p>
    <w:p>
      <w:pPr>
        <w:spacing w:after="60"/>
        <w:ind w:firstLine="567"/>
        <w:jc w:val="both"/>
      </w:pPr>
      <w:r>
        <w:rPr>
          <w:rFonts w:ascii="Arial" w:cs="Arial" w:eastAsia="Arial" w:hAnsi="Arial"/>
          <w:sz w:val="24"/>
          <w:szCs w:val="24"/>
        </w:rPr>
        <w:t xml:space="preserve">- продажа долга клиента/партнера третьей стороне, на условиях, разрешенных Шариатом. При этом должник и покупатель долга должны находиться в одном географическом месте, долг может быть продан только по номинальной стоимости, долг не может быть продан с отсрочкой платежа, а только за денежные средства при немедленном расчете;</w:t>
      </w:r>
    </w:p>
    <w:p>
      <w:pPr>
        <w:spacing w:after="60"/>
        <w:ind w:firstLine="567"/>
        <w:jc w:val="both"/>
      </w:pPr>
      <w:r>
        <w:rPr>
          <w:rFonts w:ascii="Arial" w:cs="Arial" w:eastAsia="Arial" w:hAnsi="Arial"/>
          <w:sz w:val="24"/>
          <w:szCs w:val="24"/>
        </w:rPr>
        <w:t xml:space="preserve">- обращение к гарантам и поручителям;</w:t>
      </w:r>
    </w:p>
    <w:p>
      <w:pPr>
        <w:spacing w:after="60"/>
        <w:ind w:firstLine="567"/>
        <w:jc w:val="both"/>
      </w:pPr>
      <w:r>
        <w:rPr>
          <w:rFonts w:ascii="Arial" w:cs="Arial" w:eastAsia="Arial" w:hAnsi="Arial"/>
          <w:sz w:val="24"/>
          <w:szCs w:val="24"/>
        </w:rPr>
        <w:t xml:space="preserve">- обращение в суд;</w:t>
      </w:r>
    </w:p>
    <w:p>
      <w:pPr>
        <w:spacing w:after="60"/>
        <w:ind w:firstLine="567"/>
        <w:jc w:val="both"/>
      </w:pPr>
      <w:r>
        <w:rPr>
          <w:rFonts w:ascii="Arial" w:cs="Arial" w:eastAsia="Arial" w:hAnsi="Arial"/>
          <w:sz w:val="24"/>
          <w:szCs w:val="24"/>
        </w:rPr>
        <w:t xml:space="preserve">- другие меры.</w:t>
      </w:r>
    </w:p>
    <w:p>
      <w:pPr>
        <w:spacing w:after="60"/>
        <w:ind w:firstLine="567"/>
        <w:jc w:val="both"/>
      </w:pPr>
      <w:r>
        <w:rPr>
          <w:rFonts w:ascii="Arial" w:cs="Arial" w:eastAsia="Arial" w:hAnsi="Arial"/>
          <w:sz w:val="24"/>
          <w:szCs w:val="24"/>
        </w:rPr>
        <w:t xml:space="preserve">83. В целях обеспечения своевременного погашения задолженности клиента, банк может оговорить в договоре, что погашение задолженности за счет вторичных источников возможно и до истечения срока финансирования, в случае ненадлежащего исполнения клиентом обеспеченного залогом обязательства. В этом случае банк может отразить в договоре обстоятельства, которые определяют возможность досрочного погашения задолженности с помощью вторичных источников погашения или другим способом.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Банк должен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активу" клиента/партнера - 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sz w:val="24"/>
          <w:szCs w:val="24"/>
        </w:rPr>
        <w:t xml:space="preserve">85. Руководитель структурного подразделения банка, ответственный за работу с проблемными активами, несущими в себе кредитный риск, должен на ежеквартальной основе представлять на рассмотрение Комитета по финансированию и иного коллегиального органа (при его наличии), уполномоченного принимать решение по проблемным активам:</w:t>
      </w:r>
    </w:p>
    <w:p>
      <w:pPr>
        <w:spacing w:after="60"/>
        <w:ind w:firstLine="567"/>
        <w:jc w:val="both"/>
      </w:pPr>
      <w:r>
        <w:rPr>
          <w:rFonts w:ascii="Arial" w:cs="Arial" w:eastAsia="Arial" w:hAnsi="Arial"/>
          <w:sz w:val="24"/>
          <w:szCs w:val="24"/>
        </w:rPr>
        <w:t xml:space="preserve">1) сводный отчет по проблемным активам, несущим в себе кредитный риск;</w:t>
      </w:r>
    </w:p>
    <w:p>
      <w:pPr>
        <w:spacing w:after="60"/>
        <w:ind w:firstLine="567"/>
        <w:jc w:val="both"/>
      </w:pPr>
      <w:r>
        <w:rPr>
          <w:rFonts w:ascii="Arial" w:cs="Arial" w:eastAsia="Arial" w:hAnsi="Arial"/>
          <w:sz w:val="24"/>
          <w:szCs w:val="24"/>
        </w:rPr>
        <w:t xml:space="preserve">2) подробный отчет о проделанной работе с каждым "проблемным" активом, несущим в себе кредитный риск, превышающим 1% размера чистого суммарного капитала, с предложениями о дальнейших действиях. В отчете должна быть отражена информация по каждому проблемному активу, несущему в себе кредитный риск, включая:</w:t>
      </w:r>
    </w:p>
    <w:p>
      <w:pPr>
        <w:spacing w:after="60"/>
        <w:ind w:firstLine="567"/>
        <w:jc w:val="both"/>
      </w:pPr>
      <w:r>
        <w:rPr>
          <w:rFonts w:ascii="Arial" w:cs="Arial" w:eastAsia="Arial" w:hAnsi="Arial"/>
          <w:sz w:val="24"/>
          <w:szCs w:val="24"/>
        </w:rPr>
        <w:t xml:space="preserve">- проведенную работу (встреча, разговор по телефону и т.п.), итоги проведенной работы;</w:t>
      </w:r>
    </w:p>
    <w:p>
      <w:pPr>
        <w:spacing w:after="60"/>
        <w:ind w:firstLine="567"/>
        <w:jc w:val="both"/>
      </w:pPr>
      <w:r>
        <w:rPr>
          <w:rFonts w:ascii="Arial" w:cs="Arial" w:eastAsia="Arial" w:hAnsi="Arial"/>
          <w:sz w:val="24"/>
          <w:szCs w:val="24"/>
        </w:rPr>
        <w:t xml:space="preserve">- план дальнейшей работы по возврату актива, несущего в себе кредитный риск, на ближайший месяц и ожидаемые результаты.</w:t>
      </w:r>
    </w:p>
    <w:p>
      <w:pPr>
        <w:spacing w:after="60"/>
        <w:ind w:firstLine="567"/>
        <w:jc w:val="both"/>
      </w:pPr>
      <w:r>
        <w:rPr>
          <w:rFonts w:ascii="Arial" w:cs="Arial" w:eastAsia="Arial" w:hAnsi="Arial"/>
          <w:sz w:val="24"/>
          <w:szCs w:val="24"/>
        </w:rPr>
        <w:t xml:space="preserve">По проблемным активам, несущим в себе кредитный риск, менее 1% размера чистого суммарного капитала банк самостоятельно определяет структуру отчета. При этом структура отчета должна быть зарегламентирована во внутренних документах банка по работе с проблемными активами, несущими в себе кредитный риск, либо утверждена решением уполномоченного органа банка.</w:t>
      </w:r>
    </w:p>
    <w:p>
      <w:pPr>
        <w:spacing w:after="60"/>
        <w:ind w:firstLine="567"/>
        <w:jc w:val="both"/>
      </w:pPr>
      <w:r>
        <w:rPr>
          <w:rFonts w:ascii="Arial" w:cs="Arial" w:eastAsia="Arial" w:hAnsi="Arial"/>
          <w:sz w:val="24"/>
          <w:szCs w:val="24"/>
        </w:rPr>
        <w:t xml:space="preserve">Копии отчетов направляются Правлению и Совету директоров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hyperlink w:history="1" r:id="rIdfr5q6ogvzqjwqh6zvmucd">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Если действия банка, предусмотренные настоящей главой, не привели к положительному 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задолженности, банк может инициировать процесс банкротства согласно законодательству Кыргызской Республики.</w:t>
      </w:r>
    </w:p>
    <w:p>
      <w:pPr>
        <w:spacing w:after="60"/>
        <w:ind w:firstLine="567"/>
        <w:jc w:val="both"/>
      </w:pPr>
      <w:r>
        <w:rPr>
          <w:rFonts w:ascii="Arial" w:cs="Arial" w:eastAsia="Arial" w:hAnsi="Arial"/>
          <w:sz w:val="24"/>
          <w:szCs w:val="24"/>
        </w:rPr>
        <w:t xml:space="preserve">86-1. Банк может инициировать процедуру обращения взыскания на заложенное недвижимое имущество по активу, несущему в себе кредитный риск, при систематическом нарушении исполнения обязательств клиентом/партнером более чем на 3 (три) последовательных месяца (согласно действующему графику погашения по договору клиента/партнера),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eerhohefnqif5lwlljcc">
        <w:r>
          <w:rPr>
            <w:rFonts w:ascii="Arial" w:cs="Arial" w:eastAsia="Arial" w:hAnsi="Arial"/>
            <w:i/>
            <w:iCs/>
            <w:color w:val="1D4ED8"/>
            <w:sz w:val="24"/>
            <w:szCs w:val="24"/>
            <w:u w:val="single"/>
          </w:rPr>
          <w:t xml:space="preserve">30 июня 2021 года № 2021-П-12/36-3)</w:t>
        </w:r>
      </w:hyperlink>
    </w:p>
    <w:p>
      <w:pPr>
        <w:spacing w:after="60"/>
        <w:ind w:firstLine="567"/>
        <w:jc w:val="both"/>
      </w:pPr>
      <w:r>
        <w:rPr>
          <w:rFonts w:ascii="Arial" w:cs="Arial" w:eastAsia="Arial" w:hAnsi="Arial"/>
          <w:sz w:val="24"/>
          <w:szCs w:val="24"/>
        </w:rPr>
        <w:t xml:space="preserve">87. В случае объективной невозможности возврата актива, несущего в себе кредитный риск (в том числе возможно и в случае смерти клиента/партнера банка), решение о списании активов, несущих крупный риск, принимается Советом директоров банка, а остальных активов, несущих в себе кредитный риск - Правлением либо Комитетом по финансированию банка в соответствии с их полномочиями.</w:t>
      </w:r>
    </w:p>
    <w:p>
      <w:pPr>
        <w:spacing w:after="60"/>
        <w:ind w:firstLine="567"/>
        <w:jc w:val="both"/>
      </w:pPr>
      <w:r>
        <w:rPr>
          <w:rFonts w:ascii="Arial" w:cs="Arial" w:eastAsia="Arial" w:hAnsi="Arial"/>
          <w:sz w:val="24"/>
          <w:szCs w:val="24"/>
        </w:rPr>
        <w:t xml:space="preserve">Правлением либо Комитетом по финансированию банка (в рамках делегированных сумм) может быть принято решение о списании задолженности по финансированию без обращения взыскания по нему в судебном порядке/в порядке третейского разбирательства по финансированию физических лиц, индивидуальных предпринимателей и/или участников ГСО, в случаях:</w:t>
      </w:r>
    </w:p>
    <w:p>
      <w:pPr>
        <w:spacing w:after="60"/>
        <w:ind w:firstLine="567"/>
        <w:jc w:val="both"/>
      </w:pPr>
      <w:r>
        <w:rPr>
          <w:rFonts w:ascii="Arial" w:cs="Arial" w:eastAsia="Arial" w:hAnsi="Arial"/>
          <w:sz w:val="24"/>
          <w:szCs w:val="24"/>
        </w:rPr>
        <w:t xml:space="preserve">- смерти, тяжелой болезни клиента банка, полной потери бизнеса и/или имущества вследствие стихийных бедствий, пожаров;</w:t>
      </w:r>
    </w:p>
    <w:p>
      <w:pPr>
        <w:spacing w:after="60"/>
        <w:ind w:firstLine="567"/>
        <w:jc w:val="both"/>
      </w:pPr>
      <w:r>
        <w:rPr>
          <w:rFonts w:ascii="Arial" w:cs="Arial" w:eastAsia="Arial" w:hAnsi="Arial"/>
          <w:sz w:val="24"/>
          <w:szCs w:val="24"/>
        </w:rPr>
        <w:t xml:space="preserve">- при отсутствии экономической целесообразности по возврату задолженности по данному финансированию, включая, когда расходы банка, связанные с взысканием задолженности по финансированию в судебном порядке/порядке третейского разбирательства, превышают остаток задолженности по финансированию.</w:t>
      </w:r>
    </w:p>
    <w:p>
      <w:pPr>
        <w:spacing w:after="60"/>
        <w:ind w:firstLine="567"/>
        <w:jc w:val="both"/>
      </w:pPr>
      <w:r>
        <w:rPr>
          <w:rFonts w:ascii="Arial" w:cs="Arial" w:eastAsia="Arial" w:hAnsi="Arial"/>
          <w:sz w:val="24"/>
          <w:szCs w:val="24"/>
        </w:rPr>
        <w:t xml:space="preserve">Решения о списании задолженности, принятые Правлением либо Комитетом по финансированию, должны быть обязательно доведены до сведения Совета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После списания активов, несущих в себе кредитный риск, они учитываются внесистемно не менее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89. Независимо от срока внесистемного учета при обнаружении какой-либо информации, позволяющей полагать о возможности возмещения задолженности, банк должен осуществлять предусмотренные законодательством мероприятия, направленные на ее погашение.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МИНИМАЛЬНЫЕ ТРЕБОВАНИЯ
 к досье клиента/партнера</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марта 2021 года № 2021-П-12/14-5</w:t>
      </w:r>
      <w:r>
        <w:rPr>
          <w:rFonts w:ascii="Arial" w:cs="Arial" w:eastAsia="Arial" w:hAnsi="Arial"/>
          <w:i/>
          <w:iCs/>
          <w:sz w:val="24"/>
          <w:szCs w:val="24"/>
        </w:rPr>
        <w:t xml:space="preserve">, </w:t>
      </w:r>
      <w:hyperlink w:history="1" r:id="rIdxe3zi0kzgxzaq2t1g3lpt">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w:t>
      </w:r>
    </w:p>
    <w:p>
      <w:pPr>
        <w:spacing w:after="60"/>
        <w:ind w:firstLine="567"/>
        <w:jc w:val="both"/>
      </w:pPr>
      <w:r>
        <w:rPr>
          <w:rFonts w:ascii="Arial" w:cs="Arial" w:eastAsia="Arial" w:hAnsi="Arial"/>
          <w:sz w:val="24"/>
          <w:szCs w:val="24"/>
        </w:rPr>
        <w:t xml:space="preserve">1. Заявка на получение актива, несущего в себе кредитный риск, подписанная клиентом/партнером должна содержать следующую информацию:</w:t>
      </w:r>
    </w:p>
    <w:p>
      <w:pPr>
        <w:spacing w:after="60"/>
        <w:ind w:firstLine="567"/>
        <w:jc w:val="both"/>
      </w:pPr>
      <w:r>
        <w:rPr>
          <w:rFonts w:ascii="Arial" w:cs="Arial" w:eastAsia="Arial" w:hAnsi="Arial"/>
          <w:sz w:val="24"/>
          <w:szCs w:val="24"/>
        </w:rPr>
        <w:t xml:space="preserve">- наименование клиента/партнера (фамилия, имя, отчество, если клиент/партнер - физическое лицо);</w:t>
      </w:r>
    </w:p>
    <w:p>
      <w:pPr>
        <w:spacing w:after="60"/>
        <w:ind w:firstLine="567"/>
        <w:jc w:val="both"/>
      </w:pPr>
      <w:r>
        <w:rPr>
          <w:rFonts w:ascii="Arial" w:cs="Arial" w:eastAsia="Arial" w:hAnsi="Arial"/>
          <w:sz w:val="24"/>
          <w:szCs w:val="24"/>
        </w:rPr>
        <w:t xml:space="preserve">- полный адрес места пребывания клиента/партнера (если клиент/партнер - физическое лицо), номер телефона, факса.</w:t>
      </w:r>
    </w:p>
    <w:p>
      <w:pPr>
        <w:spacing w:after="60"/>
        <w:ind w:firstLine="567"/>
        <w:jc w:val="both"/>
      </w:pPr>
      <w:r>
        <w:rPr>
          <w:rFonts w:ascii="Arial" w:cs="Arial" w:eastAsia="Arial" w:hAnsi="Arial"/>
          <w:sz w:val="24"/>
          <w:szCs w:val="24"/>
        </w:rPr>
        <w:t xml:space="preserve">Не допускается указание клиентом/партнером вместо полного адреса только номера абонентского ящика;</w:t>
      </w:r>
    </w:p>
    <w:p>
      <w:pPr>
        <w:spacing w:after="60"/>
        <w:ind w:firstLine="567"/>
        <w:jc w:val="both"/>
      </w:pPr>
      <w:r>
        <w:rPr>
          <w:rFonts w:ascii="Arial" w:cs="Arial" w:eastAsia="Arial" w:hAnsi="Arial"/>
          <w:sz w:val="24"/>
          <w:szCs w:val="24"/>
        </w:rPr>
        <w:t xml:space="preserve">- идентификационный номер налогоплательщика (при его наличии) - на основании свидетельства о постановке на учет в налоговом органе;</w:t>
      </w:r>
    </w:p>
    <w:p>
      <w:pPr>
        <w:spacing w:after="60"/>
        <w:ind w:firstLine="567"/>
        <w:jc w:val="both"/>
      </w:pPr>
      <w:r>
        <w:rPr>
          <w:rFonts w:ascii="Arial" w:cs="Arial" w:eastAsia="Arial" w:hAnsi="Arial"/>
          <w:sz w:val="24"/>
          <w:szCs w:val="24"/>
        </w:rPr>
        <w:t xml:space="preserve">- место работы и род занятий (если клиент/партнер - физическое лицо);</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ФИО руководителя (если клиент/партнер - юридическое лицо);</w:t>
      </w:r>
    </w:p>
    <w:p>
      <w:pPr>
        <w:spacing w:after="60"/>
        <w:ind w:firstLine="567"/>
        <w:jc w:val="both"/>
      </w:pPr>
      <w:r>
        <w:rPr>
          <w:rFonts w:ascii="Arial" w:cs="Arial" w:eastAsia="Arial" w:hAnsi="Arial"/>
          <w:sz w:val="24"/>
          <w:szCs w:val="24"/>
        </w:rPr>
        <w:t xml:space="preserve">- адрес (юридический адрес), телефон/факс, адрес электронной почты;</w:t>
      </w:r>
    </w:p>
    <w:p>
      <w:pPr>
        <w:spacing w:after="60"/>
        <w:ind w:firstLine="567"/>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 (если имеется);</w:t>
      </w:r>
    </w:p>
    <w:p>
      <w:pPr>
        <w:spacing w:after="60"/>
        <w:ind w:firstLine="567"/>
        <w:jc w:val="both"/>
      </w:pPr>
      <w:r>
        <w:rPr>
          <w:rFonts w:ascii="Arial" w:cs="Arial" w:eastAsia="Arial" w:hAnsi="Arial"/>
          <w:sz w:val="24"/>
          <w:szCs w:val="24"/>
        </w:rPr>
        <w:t xml:space="preserve">- тип бизнеса и организационно-правовая форма (если клиент/партнер - юридическое лицо);</w:t>
      </w:r>
    </w:p>
    <w:p>
      <w:pPr>
        <w:spacing w:after="60"/>
        <w:ind w:firstLine="567"/>
        <w:jc w:val="both"/>
      </w:pPr>
      <w:r>
        <w:rPr>
          <w:rFonts w:ascii="Arial" w:cs="Arial" w:eastAsia="Arial" w:hAnsi="Arial"/>
          <w:sz w:val="24"/>
          <w:szCs w:val="24"/>
        </w:rPr>
        <w:t xml:space="preserve">- сумма, валюта и срок, на который запрашивается актив, несущий в себе кредитный риск;</w:t>
      </w:r>
    </w:p>
    <w:p>
      <w:pPr>
        <w:spacing w:after="60"/>
        <w:ind w:firstLine="567"/>
        <w:jc w:val="both"/>
      </w:pPr>
      <w:r>
        <w:rPr>
          <w:rFonts w:ascii="Arial" w:cs="Arial" w:eastAsia="Arial" w:hAnsi="Arial"/>
          <w:sz w:val="24"/>
          <w:szCs w:val="24"/>
        </w:rPr>
        <w:t xml:space="preserve">- цель актива, несущего в себе кредитный риск;</w:t>
      </w:r>
    </w:p>
    <w:p>
      <w:pPr>
        <w:spacing w:after="60"/>
        <w:ind w:firstLine="567"/>
        <w:jc w:val="both"/>
      </w:pPr>
      <w:r>
        <w:rPr>
          <w:rFonts w:ascii="Arial" w:cs="Arial" w:eastAsia="Arial" w:hAnsi="Arial"/>
          <w:sz w:val="24"/>
          <w:szCs w:val="24"/>
        </w:rPr>
        <w:t xml:space="preserve">- источники погашения актива, несущего в себе кредитный риск (первичный: в разрезе валют, вторичный) и план его погашения;</w:t>
      </w:r>
    </w:p>
    <w:p>
      <w:pPr>
        <w:spacing w:after="60"/>
        <w:ind w:firstLine="567"/>
        <w:jc w:val="both"/>
      </w:pPr>
      <w:r>
        <w:rPr>
          <w:rFonts w:ascii="Arial" w:cs="Arial" w:eastAsia="Arial" w:hAnsi="Arial"/>
          <w:sz w:val="24"/>
          <w:szCs w:val="24"/>
        </w:rPr>
        <w:t xml:space="preserve">- предлагаемый залог;</w:t>
      </w:r>
    </w:p>
    <w:p>
      <w:pPr>
        <w:spacing w:after="60"/>
        <w:ind w:firstLine="567"/>
        <w:jc w:val="both"/>
      </w:pPr>
      <w:r>
        <w:rPr>
          <w:rFonts w:ascii="Arial" w:cs="Arial" w:eastAsia="Arial" w:hAnsi="Arial"/>
          <w:sz w:val="24"/>
          <w:szCs w:val="24"/>
        </w:rPr>
        <w:t xml:space="preserve">- сведения о полученных/погашенных ранее в данном/других банках кредитах/активах, несущих в себе кредитный риск, за последние два года, предшествующие подаче в банк заявки на получение актива, несущего в себе кредитный риск;</w:t>
      </w:r>
    </w:p>
    <w:p>
      <w:pPr>
        <w:spacing w:after="60"/>
        <w:ind w:firstLine="567"/>
        <w:jc w:val="both"/>
      </w:pPr>
      <w:r>
        <w:rPr>
          <w:rFonts w:ascii="Arial" w:cs="Arial" w:eastAsia="Arial" w:hAnsi="Arial"/>
          <w:sz w:val="24"/>
          <w:szCs w:val="24"/>
        </w:rPr>
        <w:t xml:space="preserve">- согласие клиента на предоставление кредитного отчета о себе;</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2-1. Кредитный отчет на клиента с кредитного бюро.</w:t>
      </w:r>
    </w:p>
    <w:p>
      <w:pPr>
        <w:spacing w:after="60"/>
        <w:ind w:firstLine="567"/>
        <w:jc w:val="both"/>
      </w:pPr>
      <w:r>
        <w:rPr>
          <w:rFonts w:ascii="Arial" w:cs="Arial" w:eastAsia="Arial" w:hAnsi="Arial"/>
          <w:sz w:val="24"/>
          <w:szCs w:val="24"/>
        </w:rPr>
        <w:t xml:space="preserve">3. Анализ платежеспособности клиента/партнера.</w:t>
      </w:r>
    </w:p>
    <w:p>
      <w:pPr>
        <w:spacing w:after="60"/>
        <w:ind w:firstLine="567"/>
        <w:jc w:val="both"/>
      </w:pPr>
      <w:r>
        <w:rPr>
          <w:rFonts w:ascii="Arial" w:cs="Arial" w:eastAsia="Arial" w:hAnsi="Arial"/>
          <w:sz w:val="24"/>
          <w:szCs w:val="24"/>
        </w:rPr>
        <w:t xml:space="preserve">4. Финансовая отчетность клиента/партнера (если клиент/партнер - юридическое лицо) за последний отчетный год. Если клиент/партнер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такую отчетность у юридического лица.</w:t>
      </w:r>
    </w:p>
    <w:p>
      <w:pPr>
        <w:spacing w:after="60"/>
        <w:ind w:firstLine="567"/>
        <w:jc w:val="both"/>
      </w:pPr>
      <w:r>
        <w:rPr>
          <w:rFonts w:ascii="Arial" w:cs="Arial" w:eastAsia="Arial" w:hAnsi="Arial"/>
          <w:sz w:val="24"/>
          <w:szCs w:val="24"/>
        </w:rPr>
        <w:t xml:space="preserve">5.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название организации, в которой работает клиент/партнер, должность, продолжительность работы, или другие документы, подтверждающие информацию о доходах (если клиент/партнер - физическое лицо) в разрезе валют.</w:t>
      </w:r>
    </w:p>
    <w:p>
      <w:pPr>
        <w:spacing w:after="60"/>
        <w:ind w:firstLine="567"/>
        <w:jc w:val="both"/>
      </w:pPr>
      <w:r>
        <w:rPr>
          <w:rFonts w:ascii="Arial" w:cs="Arial" w:eastAsia="Arial" w:hAnsi="Arial"/>
          <w:sz w:val="24"/>
          <w:szCs w:val="24"/>
        </w:rPr>
        <w:t xml:space="preserve">6. Договор финансирования на государственном или официальном языке (с предоставлением права выбора языка клиенту/партнеру банка).</w:t>
      </w:r>
    </w:p>
    <w:p>
      <w:pPr>
        <w:spacing w:after="60"/>
        <w:ind w:firstLine="567"/>
        <w:jc w:val="both"/>
      </w:pPr>
      <w:r>
        <w:rPr>
          <w:rFonts w:ascii="Arial" w:cs="Arial" w:eastAsia="Arial" w:hAnsi="Arial"/>
          <w:sz w:val="24"/>
          <w:szCs w:val="24"/>
        </w:rPr>
        <w:t xml:space="preserve">7. Учредительные документы (если клиент/партнер - юридическое лицо).</w:t>
      </w:r>
    </w:p>
    <w:p>
      <w:pPr>
        <w:spacing w:after="60"/>
        <w:ind w:firstLine="567"/>
        <w:jc w:val="both"/>
      </w:pPr>
      <w:r>
        <w:rPr>
          <w:rFonts w:ascii="Arial" w:cs="Arial" w:eastAsia="Arial" w:hAnsi="Arial"/>
          <w:sz w:val="24"/>
          <w:szCs w:val="24"/>
        </w:rPr>
        <w:t xml:space="preserve">8. Бизнес-план (если клиент/партнер - юридическое лицо и сумма финансирования составляет более 3500000 сом, за исключением финансирования, предоставляемого на пополнение оборотных средств.</w:t>
      </w:r>
    </w:p>
    <w:p>
      <w:pPr>
        <w:spacing w:after="60"/>
        <w:ind w:firstLine="567"/>
        <w:jc w:val="both"/>
      </w:pPr>
      <w:r>
        <w:rPr>
          <w:rFonts w:ascii="Arial" w:cs="Arial" w:eastAsia="Arial" w:hAnsi="Arial"/>
          <w:sz w:val="24"/>
          <w:szCs w:val="24"/>
        </w:rPr>
        <w:t xml:space="preserve">9.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или предоставить в банк в электронном формате для проверки через информационные системы соответствующих государственных органов Кыргызской Республики. При этом ответственный сотрудник банка должен проверить достоверность электронного патента (сохранить факт поверки на бумажном или в электронном формате), полученного на бумажном носителе либо в форме электронного документа,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 или через информационные системы соответствующих государственных органов Кыргызской Республики.</w:t>
      </w:r>
    </w:p>
    <w:p>
      <w:pPr>
        <w:spacing w:after="60"/>
        <w:ind w:firstLine="567"/>
        <w:jc w:val="both"/>
      </w:pPr>
      <w:r>
        <w:rPr>
          <w:rFonts w:ascii="Arial" w:cs="Arial" w:eastAsia="Arial" w:hAnsi="Arial"/>
          <w:sz w:val="24"/>
          <w:szCs w:val="24"/>
        </w:rPr>
        <w:t xml:space="preserve">10. Документ из налоговых органов о регистрации (если клиент/партнер - юридическое лицо).</w:t>
      </w:r>
    </w:p>
    <w:p>
      <w:pPr>
        <w:spacing w:after="60"/>
        <w:ind w:firstLine="567"/>
        <w:jc w:val="both"/>
      </w:pPr>
      <w:r>
        <w:rPr>
          <w:rFonts w:ascii="Arial" w:cs="Arial" w:eastAsia="Arial" w:hAnsi="Arial"/>
          <w:sz w:val="24"/>
          <w:szCs w:val="24"/>
        </w:rPr>
        <w:t xml:space="preserve">11. Решение соответствующего органа клиента/партнера о получении актива, несущего в себе кредитный риск (если клиент/партнер - юридическое лицо).</w:t>
      </w:r>
    </w:p>
    <w:p>
      <w:pPr>
        <w:spacing w:after="60"/>
        <w:ind w:firstLine="567"/>
        <w:jc w:val="both"/>
      </w:pPr>
      <w:r>
        <w:rPr>
          <w:rFonts w:ascii="Arial" w:cs="Arial" w:eastAsia="Arial" w:hAnsi="Arial"/>
          <w:sz w:val="24"/>
          <w:szCs w:val="24"/>
        </w:rPr>
        <w:t xml:space="preserve">12. Копия документа, удостоверяющего личность (если клиент/партнер - физическое лицо), паспорт иностранного гражданина в Кыргызской Республике (если клиент/партнер - нерезидент), по которому возможно идентифицировать клиента/партнера банка.</w:t>
      </w:r>
    </w:p>
    <w:p>
      <w:pPr>
        <w:spacing w:after="60"/>
        <w:ind w:firstLine="567"/>
        <w:jc w:val="both"/>
      </w:pPr>
      <w:r>
        <w:rPr>
          <w:rFonts w:ascii="Arial" w:cs="Arial" w:eastAsia="Arial" w:hAnsi="Arial"/>
          <w:sz w:val="24"/>
          <w:szCs w:val="24"/>
        </w:rPr>
        <w:t xml:space="preserve">13. копия документа, удостоверяющего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руководителя юридического лица, так и решение учредителей или акционеров о назначении руководителя юридического лица, определяющее его полномочия, если они не установлены Уставом).</w:t>
      </w:r>
    </w:p>
    <w:p>
      <w:pPr>
        <w:spacing w:after="60"/>
        <w:ind w:firstLine="567"/>
        <w:jc w:val="both"/>
      </w:pPr>
      <w:r>
        <w:rPr>
          <w:rFonts w:ascii="Arial" w:cs="Arial" w:eastAsia="Arial" w:hAnsi="Arial"/>
          <w:sz w:val="24"/>
          <w:szCs w:val="24"/>
        </w:rPr>
        <w:t xml:space="preserve">14. Решение соответствующего органа банка о выдаче актива, несущего в себе кредитный риск.</w:t>
      </w:r>
    </w:p>
    <w:p>
      <w:pPr>
        <w:spacing w:after="60"/>
        <w:ind w:firstLine="567"/>
        <w:jc w:val="both"/>
      </w:pPr>
      <w:r>
        <w:rPr>
          <w:rFonts w:ascii="Arial" w:cs="Arial" w:eastAsia="Arial" w:hAnsi="Arial"/>
          <w:i/>
          <w:iCs/>
          <w:sz w:val="24"/>
          <w:szCs w:val="24"/>
        </w:rPr>
        <w:t xml:space="preserve">15.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10 февраля 2016 года № 7/3)</w:t>
      </w:r>
    </w:p>
    <w:p>
      <w:pPr>
        <w:spacing w:after="60"/>
        <w:ind w:firstLine="567"/>
        <w:jc w:val="both"/>
      </w:pPr>
      <w:r>
        <w:rPr>
          <w:rFonts w:ascii="Arial" w:cs="Arial" w:eastAsia="Arial" w:hAnsi="Arial"/>
          <w:sz w:val="24"/>
          <w:szCs w:val="24"/>
        </w:rPr>
        <w:t xml:space="preserve">16. Учет контактов с клиентом/партнером, в котором должна быть отражена следующая информация по каждому контакту:</w:t>
      </w:r>
    </w:p>
    <w:p>
      <w:pPr>
        <w:spacing w:after="60"/>
        <w:ind w:firstLine="567"/>
        <w:jc w:val="both"/>
      </w:pPr>
      <w:r>
        <w:rPr>
          <w:rFonts w:ascii="Arial" w:cs="Arial" w:eastAsia="Arial" w:hAnsi="Arial"/>
          <w:sz w:val="24"/>
          <w:szCs w:val="24"/>
        </w:rPr>
        <w:t xml:space="preserve">- дата контакта;</w:t>
      </w:r>
    </w:p>
    <w:p>
      <w:pPr>
        <w:spacing w:after="60"/>
        <w:ind w:firstLine="567"/>
        <w:jc w:val="both"/>
      </w:pPr>
      <w:r>
        <w:rPr>
          <w:rFonts w:ascii="Arial" w:cs="Arial" w:eastAsia="Arial" w:hAnsi="Arial"/>
          <w:sz w:val="24"/>
          <w:szCs w:val="24"/>
        </w:rPr>
        <w:t xml:space="preserve">- вид контакта (беседа, телефонный разговор, адрес электронной почты);</w:t>
      </w:r>
    </w:p>
    <w:p>
      <w:pPr>
        <w:spacing w:after="60"/>
        <w:ind w:firstLine="567"/>
        <w:jc w:val="both"/>
      </w:pPr>
      <w:r>
        <w:rPr>
          <w:rFonts w:ascii="Arial" w:cs="Arial" w:eastAsia="Arial" w:hAnsi="Arial"/>
          <w:sz w:val="24"/>
          <w:szCs w:val="24"/>
        </w:rPr>
        <w:t xml:space="preserve">- условия контакта (ФИО сотрудника, содержание разговора);</w:t>
      </w:r>
    </w:p>
    <w:p>
      <w:pPr>
        <w:spacing w:after="60"/>
        <w:ind w:firstLine="567"/>
        <w:jc w:val="both"/>
      </w:pPr>
      <w:r>
        <w:rPr>
          <w:rFonts w:ascii="Arial" w:cs="Arial" w:eastAsia="Arial" w:hAnsi="Arial"/>
          <w:sz w:val="24"/>
          <w:szCs w:val="24"/>
        </w:rPr>
        <w:t xml:space="preserve">- результат.</w:t>
      </w:r>
    </w:p>
    <w:p>
      <w:pPr>
        <w:spacing w:after="60"/>
        <w:ind w:firstLine="567"/>
        <w:jc w:val="both"/>
      </w:pPr>
      <w:r>
        <w:rPr>
          <w:rFonts w:ascii="Arial" w:cs="Arial" w:eastAsia="Arial" w:hAnsi="Arial"/>
          <w:sz w:val="24"/>
          <w:szCs w:val="24"/>
        </w:rPr>
        <w:t xml:space="preserve">17. Переписка с клиентом/партнером (с приложением всей корреспонденции).</w:t>
      </w:r>
    </w:p>
    <w:p>
      <w:pPr>
        <w:spacing w:after="60"/>
        <w:ind w:firstLine="567"/>
        <w:jc w:val="both"/>
      </w:pPr>
      <w:r>
        <w:rPr>
          <w:rFonts w:ascii="Arial" w:cs="Arial" w:eastAsia="Arial" w:hAnsi="Arial"/>
          <w:sz w:val="24"/>
          <w:szCs w:val="24"/>
        </w:rPr>
        <w:t xml:space="preserve">18. Юридическая документация (копии контрактов клиента/партнера с поставщиками, и др.).</w:t>
      </w:r>
    </w:p>
    <w:p>
      <w:pPr>
        <w:spacing w:after="60"/>
        <w:ind w:firstLine="567"/>
        <w:jc w:val="both"/>
      </w:pPr>
      <w:r>
        <w:rPr>
          <w:rFonts w:ascii="Arial" w:cs="Arial" w:eastAsia="Arial" w:hAnsi="Arial"/>
          <w:sz w:val="24"/>
          <w:szCs w:val="24"/>
        </w:rPr>
        <w:t xml:space="preserve">19. Отчет о целевом использовании финансирования, подтвержденный документами (договоры, акты приемки, счета-фактуры, накладные и т.п.) при их наличии, в зависимости от целей финансирования, за исключением финансирования в размере не более 250000 сом.</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20. Договор о залоге на государственном или официальном языке (с предоставлением права выбора языка клиенту/партнеру банка).</w:t>
      </w:r>
    </w:p>
    <w:p>
      <w:pPr>
        <w:spacing w:after="60"/>
        <w:ind w:firstLine="567"/>
        <w:jc w:val="both"/>
      </w:pPr>
      <w:r>
        <w:rPr>
          <w:rFonts w:ascii="Arial" w:cs="Arial" w:eastAsia="Arial" w:hAnsi="Arial"/>
          <w:sz w:val="24"/>
          <w:szCs w:val="24"/>
        </w:rPr>
        <w:t xml:space="preserve">21. Сертификаты, свидетельства и другие квалификационные документы залогового имущества.</w:t>
      </w:r>
    </w:p>
    <w:p>
      <w:pPr>
        <w:spacing w:after="60"/>
        <w:ind w:firstLine="567"/>
        <w:jc w:val="both"/>
      </w:pPr>
      <w:r>
        <w:rPr>
          <w:rFonts w:ascii="Arial" w:cs="Arial" w:eastAsia="Arial" w:hAnsi="Arial"/>
          <w:sz w:val="24"/>
          <w:szCs w:val="24"/>
        </w:rPr>
        <w:t xml:space="preserve">22. Документы, подтверждающие право собственности на заложенное имущество, и согласие залогодателя с условиями договора о залоге.</w:t>
      </w:r>
    </w:p>
    <w:p>
      <w:pPr>
        <w:spacing w:after="60"/>
        <w:ind w:firstLine="567"/>
        <w:jc w:val="both"/>
      </w:pPr>
      <w:r>
        <w:rPr>
          <w:rFonts w:ascii="Arial" w:cs="Arial" w:eastAsia="Arial" w:hAnsi="Arial"/>
          <w:sz w:val="24"/>
          <w:szCs w:val="24"/>
        </w:rPr>
        <w:t xml:space="preserve">23. Нотариально заверенные карточки с образцами подписей лиц, имеющих право подписи (если клиент/партнер - юридическое лицо).</w:t>
      </w:r>
    </w:p>
    <w:p>
      <w:pPr>
        <w:spacing w:after="60"/>
        <w:ind w:firstLine="567"/>
        <w:jc w:val="both"/>
      </w:pPr>
      <w:r>
        <w:rPr>
          <w:rFonts w:ascii="Arial" w:cs="Arial" w:eastAsia="Arial" w:hAnsi="Arial"/>
          <w:sz w:val="24"/>
          <w:szCs w:val="24"/>
        </w:rPr>
        <w:t xml:space="preserve">Карточка образцов подписей с образцом подписи клиента/партнера и оттиском печати при наличии таковой (если клиент - индивидуальный предприниматель).</w:t>
      </w:r>
    </w:p>
    <w:p>
      <w:pPr>
        <w:spacing w:after="60"/>
        <w:ind w:firstLine="567"/>
        <w:jc w:val="both"/>
      </w:pPr>
      <w:r>
        <w:rPr>
          <w:rFonts w:ascii="Arial" w:cs="Arial" w:eastAsia="Arial" w:hAnsi="Arial"/>
          <w:sz w:val="24"/>
          <w:szCs w:val="24"/>
        </w:rPr>
        <w:t xml:space="preserve">24. Документы, подтверждающие цену приобретения (если банк финансирует покупку залога, например, оборудования, товаров народного потребления и др.).</w:t>
      </w:r>
    </w:p>
    <w:p>
      <w:pPr>
        <w:spacing w:after="60"/>
        <w:ind w:firstLine="567"/>
        <w:jc w:val="both"/>
      </w:pPr>
      <w:r>
        <w:rPr>
          <w:rFonts w:ascii="Arial" w:cs="Arial" w:eastAsia="Arial" w:hAnsi="Arial"/>
          <w:sz w:val="24"/>
          <w:szCs w:val="24"/>
        </w:rPr>
        <w:t xml:space="preserve">25. Документы, подтверждающие оценку залога с отражением в них следующей информации: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дата оценки;</w:t>
      </w:r>
    </w:p>
    <w:p>
      <w:pPr>
        <w:spacing w:after="60"/>
        <w:ind w:firstLine="567"/>
        <w:jc w:val="both"/>
      </w:pPr>
      <w:r>
        <w:rPr>
          <w:rFonts w:ascii="Arial" w:cs="Arial" w:eastAsia="Arial" w:hAnsi="Arial"/>
          <w:sz w:val="24"/>
          <w:szCs w:val="24"/>
        </w:rPr>
        <w:t xml:space="preserve">- кем проведена оценка;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26. Документы, подтверждающие регистрацию договора залога (если залог должен быть зарегистрирован, или банк требует регистрацию).</w:t>
      </w:r>
    </w:p>
    <w:p>
      <w:pPr>
        <w:spacing w:after="60"/>
        <w:ind w:firstLine="567"/>
        <w:jc w:val="both"/>
      </w:pPr>
      <w:r>
        <w:rPr>
          <w:rFonts w:ascii="Arial" w:cs="Arial" w:eastAsia="Arial" w:hAnsi="Arial"/>
          <w:sz w:val="24"/>
          <w:szCs w:val="24"/>
        </w:rPr>
        <w:t xml:space="preserve">27. Решение соответствующего органа клиента/партнера о предоставлении залога (если клиент/партнер - юридическое лицо).</w:t>
      </w:r>
    </w:p>
    <w:p>
      <w:pPr>
        <w:spacing w:after="60"/>
        <w:ind w:firstLine="567"/>
        <w:jc w:val="both"/>
      </w:pPr>
      <w:r>
        <w:rPr>
          <w:rFonts w:ascii="Arial" w:cs="Arial" w:eastAsia="Arial" w:hAnsi="Arial"/>
          <w:sz w:val="24"/>
          <w:szCs w:val="24"/>
        </w:rPr>
        <w:t xml:space="preserve">28. Акт обследования залога, в котором должны быть отражены:</w:t>
      </w:r>
    </w:p>
    <w:p>
      <w:pPr>
        <w:spacing w:after="60"/>
        <w:ind w:firstLine="567"/>
        <w:jc w:val="both"/>
      </w:pPr>
      <w:r>
        <w:rPr>
          <w:rFonts w:ascii="Arial" w:cs="Arial" w:eastAsia="Arial" w:hAnsi="Arial"/>
          <w:sz w:val="24"/>
          <w:szCs w:val="24"/>
        </w:rPr>
        <w:t xml:space="preserve">- дата обследования залога;</w:t>
      </w:r>
    </w:p>
    <w:p>
      <w:pPr>
        <w:spacing w:after="60"/>
        <w:ind w:firstLine="567"/>
        <w:jc w:val="both"/>
      </w:pPr>
      <w:r>
        <w:rPr>
          <w:rFonts w:ascii="Arial" w:cs="Arial" w:eastAsia="Arial" w:hAnsi="Arial"/>
          <w:sz w:val="24"/>
          <w:szCs w:val="24"/>
        </w:rPr>
        <w:t xml:space="preserve">- вид залога;</w:t>
      </w:r>
    </w:p>
    <w:p>
      <w:pPr>
        <w:spacing w:after="60"/>
        <w:ind w:firstLine="567"/>
        <w:jc w:val="both"/>
      </w:pPr>
      <w:r>
        <w:rPr>
          <w:rFonts w:ascii="Arial" w:cs="Arial" w:eastAsia="Arial" w:hAnsi="Arial"/>
          <w:sz w:val="24"/>
          <w:szCs w:val="24"/>
        </w:rPr>
        <w:t xml:space="preserve">- дата оценки залога;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 местонахождение залога;</w:t>
      </w:r>
    </w:p>
    <w:p>
      <w:pPr>
        <w:spacing w:after="60"/>
        <w:ind w:firstLine="567"/>
        <w:jc w:val="both"/>
      </w:pPr>
      <w:r>
        <w:rPr>
          <w:rFonts w:ascii="Arial" w:cs="Arial" w:eastAsia="Arial" w:hAnsi="Arial"/>
          <w:sz w:val="24"/>
          <w:szCs w:val="24"/>
        </w:rPr>
        <w:t xml:space="preserve">- состояние залога и условия его содержания;</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график периодического обследования залога.</w:t>
      </w:r>
    </w:p>
    <w:p>
      <w:pPr>
        <w:spacing w:after="60"/>
        <w:ind w:firstLine="567"/>
        <w:jc w:val="both"/>
      </w:pPr>
      <w:r>
        <w:rPr>
          <w:rFonts w:ascii="Arial" w:cs="Arial" w:eastAsia="Arial" w:hAnsi="Arial"/>
          <w:sz w:val="24"/>
          <w:szCs w:val="24"/>
        </w:rPr>
        <w:t xml:space="preserve">29. Другие сведения по усмотрению банка.</w:t>
      </w:r>
    </w:p>
    <w:p>
      <w:pPr>
        <w:spacing w:after="200" w:before="200"/>
        <w:jc w:val="center"/>
      </w:pPr>
      <w:r>
        <w:rPr>
          <w:rFonts w:ascii="Arial" w:cs="Arial" w:eastAsia="Arial" w:hAnsi="Arial"/>
          <w:b/>
          <w:bCs/>
          <w:sz w:val="32"/>
          <w:szCs w:val="32"/>
        </w:rPr>
        <w:t xml:space="preserve">III. Гарантии или поручительства</w:t>
      </w:r>
    </w:p>
    <w:p>
      <w:pPr>
        <w:spacing w:after="60"/>
        <w:ind w:firstLine="567"/>
        <w:jc w:val="both"/>
      </w:pPr>
      <w:r>
        <w:rPr>
          <w:rFonts w:ascii="Arial" w:cs="Arial" w:eastAsia="Arial" w:hAnsi="Arial"/>
          <w:sz w:val="24"/>
          <w:szCs w:val="24"/>
        </w:rPr>
        <w:t xml:space="preserve">30. Письменная гарантия или поручительство с указанием соответствующего договора, суммы, на которую выдается гарантия, даты истечения гарантии.</w:t>
      </w:r>
    </w:p>
    <w:p>
      <w:pPr>
        <w:spacing w:after="60"/>
        <w:ind w:firstLine="567"/>
        <w:jc w:val="both"/>
      </w:pPr>
      <w:r>
        <w:rPr>
          <w:rFonts w:ascii="Arial" w:cs="Arial" w:eastAsia="Arial" w:hAnsi="Arial"/>
          <w:sz w:val="24"/>
          <w:szCs w:val="24"/>
        </w:rPr>
        <w:t xml:space="preserve">31. Решение соответствующего органа гаранта о выдаче гарантии.</w:t>
      </w:r>
    </w:p>
    <w:p>
      <w:pPr>
        <w:spacing w:after="60"/>
        <w:ind w:firstLine="567"/>
        <w:jc w:val="both"/>
      </w:pPr>
      <w:r>
        <w:rPr>
          <w:rFonts w:ascii="Arial" w:cs="Arial" w:eastAsia="Arial" w:hAnsi="Arial"/>
          <w:sz w:val="24"/>
          <w:szCs w:val="24"/>
        </w:rPr>
        <w:t xml:space="preserve">32. Согласие супруга/супруги поручителя (если имеется) о выдаче поручительства.</w:t>
      </w:r>
    </w:p>
    <w:p>
      <w:pPr>
        <w:spacing w:after="60"/>
        <w:ind w:firstLine="567"/>
        <w:jc w:val="both"/>
      </w:pPr>
      <w:r>
        <w:rPr>
          <w:rFonts w:ascii="Arial" w:cs="Arial" w:eastAsia="Arial" w:hAnsi="Arial"/>
          <w:sz w:val="24"/>
          <w:szCs w:val="24"/>
        </w:rPr>
        <w:t xml:space="preserve">33. Учредительные документы гаранта.</w:t>
      </w:r>
    </w:p>
    <w:p>
      <w:pPr>
        <w:spacing w:after="60"/>
        <w:ind w:firstLine="567"/>
        <w:jc w:val="both"/>
      </w:pPr>
      <w:r>
        <w:rPr>
          <w:rFonts w:ascii="Arial" w:cs="Arial" w:eastAsia="Arial" w:hAnsi="Arial"/>
          <w:sz w:val="24"/>
          <w:szCs w:val="24"/>
        </w:rPr>
        <w:t xml:space="preserve">34. Финансовая отчетность гаранта за последний год (если гарантия является единственным обеспечением).</w:t>
      </w:r>
    </w:p>
    <w:p>
      <w:pPr>
        <w:spacing w:after="60"/>
        <w:ind w:firstLine="567"/>
        <w:jc w:val="both"/>
      </w:pPr>
      <w:r>
        <w:rPr>
          <w:rFonts w:ascii="Arial" w:cs="Arial" w:eastAsia="Arial" w:hAnsi="Arial"/>
          <w:sz w:val="24"/>
          <w:szCs w:val="24"/>
        </w:rPr>
        <w:t xml:space="preserve">35.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поручитель - физическое лицо).</w:t>
      </w:r>
    </w:p>
    <w:p>
      <w:pPr>
        <w:spacing w:after="60"/>
        <w:ind w:firstLine="567"/>
        <w:jc w:val="both"/>
      </w:pPr>
      <w:r>
        <w:rPr>
          <w:rFonts w:ascii="Arial" w:cs="Arial" w:eastAsia="Arial" w:hAnsi="Arial"/>
          <w:sz w:val="24"/>
          <w:szCs w:val="24"/>
        </w:rPr>
        <w:t xml:space="preserve">36. Анализ платежеспособности гаранта или поручителя.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МИНИМАЛЬНЫЕ ТРЕБОВАНИЯ
 по выдаче гарантийных писем</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hyperlink w:history="1" r:id="rId6vp_6jie5xjfzcpdh-_xu">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Политике финансирования банка должны быть определены все основные положения, касающиеся выдачи гарантийных писем:</w:t>
      </w:r>
    </w:p>
    <w:p>
      <w:pPr>
        <w:spacing w:after="60"/>
        <w:ind w:firstLine="567"/>
        <w:jc w:val="both"/>
      </w:pPr>
      <w:r>
        <w:rPr>
          <w:rFonts w:ascii="Arial" w:cs="Arial" w:eastAsia="Arial" w:hAnsi="Arial"/>
          <w:sz w:val="24"/>
          <w:szCs w:val="24"/>
        </w:rPr>
        <w:t xml:space="preserve">1. Вопрос о выдаче банком гарантийного письма должен рассматриваться на заседании Комитета по финансированию. Выдача гарантийного письма будет считаться действительной только при наличии соответствующего решения Комитета по финансированию.</w:t>
      </w:r>
    </w:p>
    <w:p>
      <w:pPr>
        <w:spacing w:after="60"/>
        <w:ind w:firstLine="567"/>
        <w:jc w:val="both"/>
      </w:pPr>
      <w:r>
        <w:rPr>
          <w:rFonts w:ascii="Arial" w:cs="Arial" w:eastAsia="Arial" w:hAnsi="Arial"/>
          <w:sz w:val="24"/>
          <w:szCs w:val="24"/>
        </w:rPr>
        <w:t xml:space="preserve">2. Четкое разделение полномочий и ответственности должностных лиц банка и его филиалов на подписание и учет гарантийных писем.</w:t>
      </w:r>
    </w:p>
    <w:p>
      <w:pPr>
        <w:spacing w:after="60"/>
        <w:ind w:firstLine="567"/>
        <w:jc w:val="both"/>
      </w:pPr>
      <w:r>
        <w:rPr>
          <w:rFonts w:ascii="Arial" w:cs="Arial" w:eastAsia="Arial" w:hAnsi="Arial"/>
          <w:sz w:val="24"/>
          <w:szCs w:val="24"/>
        </w:rPr>
        <w:t xml:space="preserve">3. Оригинал гарантийного письма должен быть оформлен на государственном языке или официальном языке Кыргызской Республики. При необходимости гарантийное письмо дополнительно может быть оформлено на иностранном языке при соблюдении условия, указанного в первом предложении настоящего пункта.</w:t>
      </w:r>
    </w:p>
    <w:p>
      <w:pPr>
        <w:spacing w:after="60"/>
        <w:ind w:firstLine="567"/>
        <w:jc w:val="both"/>
      </w:pPr>
      <w:r>
        <w:rPr>
          <w:rFonts w:ascii="Arial" w:cs="Arial" w:eastAsia="Arial" w:hAnsi="Arial"/>
          <w:sz w:val="24"/>
          <w:szCs w:val="24"/>
        </w:rPr>
        <w:t xml:space="preserve">4. Гарантийное письмо должно быть оформлено на пронумерованном фирменном бланке, подписано уполномоченными должностными лицами банка или филиала, а также заверено круглой печатью банка.</w:t>
      </w:r>
    </w:p>
    <w:p>
      <w:pPr>
        <w:spacing w:after="60"/>
        <w:ind w:firstLine="567"/>
        <w:jc w:val="both"/>
      </w:pPr>
      <w:r>
        <w:rPr>
          <w:rFonts w:ascii="Arial" w:cs="Arial" w:eastAsia="Arial" w:hAnsi="Arial"/>
          <w:sz w:val="24"/>
          <w:szCs w:val="24"/>
        </w:rPr>
        <w:t xml:space="preserve">5. Гарантийное письмо банка должно быть зарегистрировано в журнале регистрации гарантийных писем (либо в журнале исходящей корреспонденции).</w:t>
      </w:r>
    </w:p>
    <w:p>
      <w:pPr>
        <w:spacing w:after="60"/>
        <w:ind w:firstLine="567"/>
        <w:jc w:val="both"/>
      </w:pPr>
      <w:r>
        <w:rPr>
          <w:rFonts w:ascii="Arial" w:cs="Arial" w:eastAsia="Arial" w:hAnsi="Arial"/>
          <w:sz w:val="24"/>
          <w:szCs w:val="24"/>
        </w:rPr>
        <w:t xml:space="preserve">6. Бухгалтерский учет гарантийных писем должен осуществляться в соответствии со стандартами бухгалтерского учета.</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xngeiklwfez6gvccdys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8. В случае обнаружения фиктивных гарантий банк должен сообщить о них в правоохранительные органы, а информация об аннулированных гарантиях должна быть размещена в СМИ.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Стресс-тестирование</w:t>
      </w:r>
    </w:p>
    <w:p>
      <w:pPr>
        <w:spacing w:after="60"/>
        <w:ind w:firstLine="567"/>
        <w:jc w:val="both"/>
      </w:pPr>
      <w:r>
        <w:rPr>
          <w:rFonts w:ascii="Arial" w:cs="Arial" w:eastAsia="Arial" w:hAnsi="Arial"/>
          <w:sz w:val="24"/>
          <w:szCs w:val="24"/>
        </w:rPr>
        <w:t xml:space="preserve">Стресс-тестирование является аналитическим инструментом оценки потенциальных потерь банка в случае возникновения и определения тенденций повышения риска как во внешней среде (например, спады в экономике, ухудшение качества портфеля финансирования, изменения рыночной стоимости предмета залога, изменения в законодательстве и т.п.), так и в деятельности клиентов банка (например, банкротство крупных клиентов/поставщиков/партнеров банка, отток депозитов и т.п.).</w:t>
      </w:r>
    </w:p>
    <w:p>
      <w:pPr>
        <w:spacing w:after="60"/>
        <w:ind w:firstLine="567"/>
        <w:jc w:val="both"/>
      </w:pPr>
      <w:r>
        <w:rPr>
          <w:rFonts w:ascii="Arial" w:cs="Arial" w:eastAsia="Arial" w:hAnsi="Arial"/>
          <w:sz w:val="24"/>
          <w:szCs w:val="24"/>
        </w:rPr>
        <w:t xml:space="preserve">Стресс-тестирование проводится посредством моделирования сценария 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привести к убыткам банка, повлияв, соответственно, на размер капитала.</w:t>
      </w:r>
    </w:p>
    <w:p>
      <w:pPr>
        <w:spacing w:after="60"/>
        <w:ind w:firstLine="567"/>
        <w:jc w:val="both"/>
      </w:pPr>
      <w:r>
        <w:rPr>
          <w:rFonts w:ascii="Arial" w:cs="Arial" w:eastAsia="Arial" w:hAnsi="Arial"/>
          <w:sz w:val="24"/>
          <w:szCs w:val="24"/>
        </w:rPr>
        <w:t xml:space="preserve">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 также убедиться в достоверности, объективности и целесообразности источников другой используемой информации (например, информации из СМИ).</w:t>
      </w:r>
    </w:p>
    <w:p>
      <w:pPr>
        <w:spacing w:after="60"/>
        <w:ind w:firstLine="567"/>
        <w:jc w:val="both"/>
      </w:pPr>
      <w:r>
        <w:rPr>
          <w:rFonts w:ascii="Arial" w:cs="Arial" w:eastAsia="Arial" w:hAnsi="Arial"/>
          <w:sz w:val="24"/>
          <w:szCs w:val="24"/>
        </w:rPr>
        <w:t xml:space="preserve">Сценарий развития неблагоприятного события должен быть достаточно реальным, уместным и обоснованным. Реальность сценария означает, что он должен иметь высокую долю вероятности наступления такого события.</w:t>
      </w:r>
    </w:p>
    <w:p>
      <w:pPr>
        <w:spacing w:after="60"/>
        <w:ind w:firstLine="567"/>
        <w:jc w:val="both"/>
      </w:pPr>
      <w:r>
        <w:rPr>
          <w:rFonts w:ascii="Arial" w:cs="Arial" w:eastAsia="Arial" w:hAnsi="Arial"/>
          <w:sz w:val="24"/>
          <w:szCs w:val="24"/>
        </w:rPr>
        <w:t xml:space="preserve">Моделирование сценария может включать изменение как внутренних, так и внешних факторов и проводиться в двух версиях:</w:t>
      </w:r>
    </w:p>
    <w:p>
      <w:pPr>
        <w:spacing w:after="60"/>
        <w:ind w:firstLine="567"/>
        <w:jc w:val="both"/>
      </w:pPr>
      <w:r>
        <w:rPr>
          <w:rFonts w:ascii="Arial" w:cs="Arial" w:eastAsia="Arial" w:hAnsi="Arial"/>
          <w:sz w:val="24"/>
          <w:szCs w:val="24"/>
        </w:rPr>
        <w:t xml:space="preserve">- исторический сценарий - сценарий стресс-теста основывается на наблюдениях последствий события, произошедшего в прошлом;</w:t>
      </w:r>
    </w:p>
    <w:p>
      <w:pPr>
        <w:spacing w:after="60"/>
        <w:ind w:firstLine="567"/>
        <w:jc w:val="both"/>
      </w:pPr>
      <w:r>
        <w:rPr>
          <w:rFonts w:ascii="Arial" w:cs="Arial" w:eastAsia="Arial" w:hAnsi="Arial"/>
          <w:sz w:val="24"/>
          <w:szCs w:val="24"/>
        </w:rPr>
        <w:t xml:space="preserve">- гипотетический сценарий - сценарий стресс-теста основывается на вероятном событии, которое еще не произошло.</w:t>
      </w:r>
    </w:p>
    <w:p>
      <w:pPr>
        <w:spacing w:after="60"/>
        <w:ind w:firstLine="567"/>
        <w:jc w:val="both"/>
      </w:pPr>
      <w:r>
        <w:rPr>
          <w:rFonts w:ascii="Arial" w:cs="Arial" w:eastAsia="Arial" w:hAnsi="Arial"/>
          <w:sz w:val="24"/>
          <w:szCs w:val="24"/>
        </w:rPr>
        <w:t xml:space="preserve">При моделировании исторического сценария анализ проводится с учетом событии, имевших место в прошлом и вызвавших негативные изменения в финансовом состоянии банка.</w:t>
      </w:r>
    </w:p>
    <w:p>
      <w:pPr>
        <w:spacing w:after="60"/>
        <w:ind w:firstLine="567"/>
        <w:jc w:val="both"/>
      </w:pPr>
      <w:r>
        <w:rPr>
          <w:rFonts w:ascii="Arial" w:cs="Arial" w:eastAsia="Arial" w:hAnsi="Arial"/>
          <w:sz w:val="24"/>
          <w:szCs w:val="24"/>
        </w:rPr>
        <w:t xml:space="preserve">При стресс-тестировании по методу исторического сценария особое внимание необходимо обратить на точное определение условий и обстоятельств прошлых кризисов, которые используются при тестировании баланса банка.</w:t>
      </w:r>
    </w:p>
    <w:p>
      <w:pPr>
        <w:spacing w:after="60"/>
        <w:ind w:firstLine="567"/>
        <w:jc w:val="both"/>
      </w:pPr>
      <w:r>
        <w:rPr>
          <w:rFonts w:ascii="Arial" w:cs="Arial" w:eastAsia="Arial" w:hAnsi="Arial"/>
          <w:sz w:val="24"/>
          <w:szCs w:val="24"/>
        </w:rPr>
        <w:t xml:space="preserve">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ухудшение финансового состояния клиента/партнера, несвоевременная выплата основной суммы или наценки/дохода и т.д.), так и оценку максимального изменения показателей, на основании которых можно прогнозировать повышение кредитного риска, в целях принятия необходимых мер для его минимизации до приемлемого уровня.</w:t>
      </w:r>
    </w:p>
    <w:p>
      <w:pPr>
        <w:spacing w:after="60"/>
        <w:ind w:firstLine="567"/>
        <w:jc w:val="both"/>
      </w:pPr>
      <w:r>
        <w:rPr>
          <w:rFonts w:ascii="Arial" w:cs="Arial" w:eastAsia="Arial" w:hAnsi="Arial"/>
          <w:sz w:val="24"/>
          <w:szCs w:val="24"/>
        </w:rPr>
        <w:t xml:space="preserve">При проведении стресс-тестирования также необходимо провести несколько пробных расчетов. Сценарий стресс-теста будет считаться окончательным тогда, когда анализ, проводимый с помощью комбинации влияния различных рисков, покажет первые признаки неплатежеспособности для банка.</w:t>
      </w:r>
    </w:p>
    <w:p>
      <w:pPr>
        <w:spacing w:after="60"/>
        <w:ind w:firstLine="567"/>
        <w:jc w:val="both"/>
      </w:pPr>
      <w:r>
        <w:rPr>
          <w:rFonts w:ascii="Arial" w:cs="Arial" w:eastAsia="Arial" w:hAnsi="Arial"/>
          <w:sz w:val="24"/>
          <w:szCs w:val="24"/>
        </w:rPr>
        <w:t xml:space="preserve">Стресс-тестирование в целях оценки кредитного риска может быть проведено с применением сценариев, предполагающих, например, переклассификацию портфеля финансирования на одну категорию классификации вниз, или на две категории вниз. В качестве сценария можно также предположить переклассификацию классифицированных активов, несущих в себе кредитный риск, как потери и т.п., в зависимости от наибольшей приближенности сценария к фактическому состоянию портфеля финансирования и исторического опыта банка.</w:t>
      </w:r>
    </w:p>
    <w:p>
      <w:pPr>
        <w:spacing w:after="60"/>
        <w:ind w:firstLine="567"/>
        <w:jc w:val="both"/>
      </w:pPr>
      <w:r>
        <w:rPr>
          <w:rFonts w:ascii="Arial" w:cs="Arial" w:eastAsia="Arial" w:hAnsi="Arial"/>
          <w:sz w:val="24"/>
          <w:szCs w:val="24"/>
        </w:rPr>
        <w:t xml:space="preserve">Далее рассчитывается размер необходимых отчислений в РППУ согласно сценарию стресс-тестирования, затем оценивается чистый суммарный капитал, на базе которого определяется возможность выполнения банком требований по экономическим нормативам.</w:t>
      </w:r>
    </w:p>
    <w:p>
      <w:pPr>
        <w:spacing w:after="60"/>
        <w:ind w:firstLine="567"/>
        <w:jc w:val="both"/>
      </w:pPr>
      <w:r>
        <w:rPr>
          <w:rFonts w:ascii="Arial" w:cs="Arial" w:eastAsia="Arial" w:hAnsi="Arial"/>
          <w:sz w:val="24"/>
          <w:szCs w:val="24"/>
        </w:rPr>
        <w:t xml:space="preserve">При проведении стресс-тестирования отслеживаются общее состояние активов, качество портфеля финансирования, ухудшение залогового обеспечения, и другие показатели, характеризующие повышение кредитного риска. Таким образом, применяя различные методы стресс-тестирования, банк может своевременно принять меры по оптимальной минимизации потерь при наступлении случаев, вызвавших негативные изменения в финансовом состоянии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ЖУРНАЛ
 регистрации заявок клиентов/партнеров на получение активов, несущих кредитный риск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566"/>
        <w:gridCol w:w="741"/>
        <w:gridCol w:w="1168"/>
        <w:gridCol w:w="867"/>
        <w:gridCol w:w="472"/>
        <w:gridCol w:w="1239"/>
        <w:gridCol w:w="877"/>
        <w:gridCol w:w="824"/>
        <w:gridCol w:w="898"/>
        <w:gridCol w:w="1022"/>
        <w:gridCol w:w="1262"/>
      </w:tblGrid>
      <w:tr>
        <w:tc>
          <w:tcPr>
            <w:tcW w:type="dxa" w:w="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5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заявки</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Клиента/ партнера</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Запрашиваемая сумма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Целевое назначение</w:t>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w:t>
            </w:r>
          </w:p>
        </w:tc>
        <w:tc>
          <w:tcPr>
            <w:tcW w:type="dxa" w:w="12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Предполагаемое залоговое обеспечение</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(одобрено/ отказано)</w:t>
            </w:r>
          </w:p>
        </w:tc>
        <w:tc>
          <w:tcPr>
            <w:tcW w:type="dxa" w:w="8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Источник погашения (вид бизнеса)</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случае отказа: причина отказа/В случае одобрения: сумма, сроки</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утверждения/ уведомления об отказе</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специалиста по финансированию</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КНИГА
 жалоб и предложений клиентов банка</w:t>
      </w:r>
    </w:p>
    <w:p>
      <w:pPr>
        <w:spacing w:after="200"/>
        <w:jc w:val="center"/>
      </w:pPr>
      <w:r>
        <w:rPr>
          <w:rFonts w:ascii="Arial" w:cs="Arial" w:eastAsia="Arial" w:hAnsi="Arial"/>
          <w:i/>
          <w:iCs/>
          <w:sz w:val="24"/>
          <w:szCs w:val="24"/>
        </w:rPr>
        <w:t xml:space="preserve">(Утратила силу 
 в соответствии с </w:t>
      </w:r>
      <w:hyperlink w:history="1" r:id="rIdlumczltta0nly-hbntnk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 </w:t>
      </w:r>
    </w:p>
    <w:p>
      <w:pPr>
        <w:spacing w:after="120"/>
        <w:jc w:val="center"/>
      </w:pPr>
      <w:r>
        <w:rPr>
          <w:rFonts w:ascii="Arial" w:cs="Arial" w:eastAsia="Arial" w:hAnsi="Arial"/>
          <w:sz w:val="24"/>
          <w:szCs w:val="24"/>
        </w:rPr>
        <w:t xml:space="preserve">Приложение 6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200" w:before="200"/>
        <w:jc w:val="center"/>
      </w:pPr>
      <w:r>
        <w:rPr>
          <w:rFonts w:ascii="Arial" w:cs="Arial" w:eastAsia="Arial" w:hAnsi="Arial"/>
          <w:b/>
          <w:bCs/>
          <w:sz w:val="32"/>
          <w:szCs w:val="32"/>
        </w:rPr>
        <w:t xml:space="preserve">ПЕРЕЧЕНЬ
 расходов (платежей) клиентов/партнеров банка и штрафных санкций</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клиента/партнера банка по активу, несущему кредитный риск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актива, несущего кредитный риск</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Наценка/доход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(оформление актива, несущего кредитный риск) в случае отказа от получения актива с момента подписания договора финансирования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их размеры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договора) и обслуживание (если операции по активу, несущему кредитный риск, проводятся в безналичной форме) расчетного (текущего) счета/счета по банковским вкладам (депозитам) до востребования</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клиентом/партнером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клиента/партнера (за исключением случаев реструктуризации активов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линии финансирования), если договором предусмотрено безусловное обязательство банка по предоставлению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актива, несущего кредитный риск, и по наценке/доходам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актива, несущего в себе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2ptkkdwpah2whdrfgf">
      <w:r>
        <w:rPr>
          <w:rFonts w:ascii="Arial" w:cs="Arial" w:eastAsia="Arial" w:hAnsi="Arial"/>
          <w:color w:val="132D3F"/>
          <w:sz w:val="16"/>
          <w:szCs w:val="16"/>
          <w:u w:val="single"/>
        </w:rPr>
        <w:t xml:space="preserve">dalil.kg/document/302787</w:t>
      </w:r>
    </w:hyperlink>
  </w:p>
  <w:p>
    <w:pPr>
      <w:spacing w:after="0" w:before="40"/>
      <w:jc w:val="center"/>
    </w:pPr>
    <w:hyperlink w:history="1" r:id="rId3qtwtwhtjt6v0nbr-0o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u3se0io7uz49cnrmueg" Type="http://schemas.openxmlformats.org/officeDocument/2006/relationships/hyperlink" Target="https://dalil.kg/document/302788" TargetMode="External"/><Relationship Id="rIdegbeqw-adkf9cwliq2mbe" Type="http://schemas.openxmlformats.org/officeDocument/2006/relationships/hyperlink" Target="https://dalil.kg/document/302998" TargetMode="External"/><Relationship Id="rIdlqyhjzkcbvowbq7ogj-q8" Type="http://schemas.openxmlformats.org/officeDocument/2006/relationships/hyperlink" Target="https://dalil.kg/document/800715" TargetMode="External"/><Relationship Id="rIdnnkkcdw4yjyq7duij8zmm" Type="http://schemas.openxmlformats.org/officeDocument/2006/relationships/hyperlink" Target="https://dalil.kg/document/800768" TargetMode="External"/><Relationship Id="rIdaqfhz5-7cyju2zzv34h5v" Type="http://schemas.openxmlformats.org/officeDocument/2006/relationships/hyperlink" Target="https://dalil.kg/document/800768" TargetMode="External"/><Relationship Id="rIdiulaewdezdhflaswzwlov" Type="http://schemas.openxmlformats.org/officeDocument/2006/relationships/hyperlink" Target="https://dalil.kg/document/800768" TargetMode="External"/><Relationship Id="rIdpd8f9pc2xdeflgluah7a1" Type="http://schemas.openxmlformats.org/officeDocument/2006/relationships/hyperlink" Target="https://dalil.kg/document/800768" TargetMode="External"/><Relationship Id="rIdp95oabdv7kzyb_o601lrc" Type="http://schemas.openxmlformats.org/officeDocument/2006/relationships/hyperlink" Target="https://dalil.kg/document/800768" TargetMode="External"/><Relationship Id="rIdxu6fksphflu6q_ss4tomg" Type="http://schemas.openxmlformats.org/officeDocument/2006/relationships/hyperlink" Target="https://dalil.kg/document/800768" TargetMode="External"/><Relationship Id="rIdfijsy_hwvns59p44xd5zi" Type="http://schemas.openxmlformats.org/officeDocument/2006/relationships/hyperlink" Target="https://dalil.kg/document/800768" TargetMode="External"/><Relationship Id="rIddq_bbhui0sxcuxjol_0i_" Type="http://schemas.openxmlformats.org/officeDocument/2006/relationships/hyperlink" Target="https://dalil.kg/document/800768" TargetMode="External"/><Relationship Id="rIdw0mkjpvmhiuq_k294hyzs" Type="http://schemas.openxmlformats.org/officeDocument/2006/relationships/hyperlink" Target="https://dalil.kg/document/800768" TargetMode="External"/><Relationship Id="rIdd07qc8fonrbovoaanqnyy" Type="http://schemas.openxmlformats.org/officeDocument/2006/relationships/hyperlink" Target="https://dalil.kg/document/800768" TargetMode="External"/><Relationship Id="rIdqwsmb__o0we7v42sa2eqd" Type="http://schemas.openxmlformats.org/officeDocument/2006/relationships/hyperlink" Target="https://dalil.kg/document/800768" TargetMode="External"/><Relationship Id="rIddjv185elw4qkofs0stymb" Type="http://schemas.openxmlformats.org/officeDocument/2006/relationships/hyperlink" Target="https://dalil.kg/document/800768" TargetMode="External"/><Relationship Id="rIdvd3kmjoripy-pwqtntpbn" Type="http://schemas.openxmlformats.org/officeDocument/2006/relationships/hyperlink" Target="https://dalil.kg/document/800768" TargetMode="External"/><Relationship Id="rIdcw-uft7w9fx2n02wmhswz" Type="http://schemas.openxmlformats.org/officeDocument/2006/relationships/hyperlink" Target="https://dalil.kg/document/800768" TargetMode="External"/><Relationship Id="rId196tkln_od2gu6qb2wqec" Type="http://schemas.openxmlformats.org/officeDocument/2006/relationships/hyperlink" Target="https://dalil.kg/document/800768" TargetMode="External"/><Relationship Id="rId_fn8d5rshj9pbtlszor37" Type="http://schemas.openxmlformats.org/officeDocument/2006/relationships/hyperlink" Target="https://dalil.kg/document/800768" TargetMode="External"/><Relationship Id="rIdoeawibcs-tayjb_n7bg63" Type="http://schemas.openxmlformats.org/officeDocument/2006/relationships/hyperlink" Target="https://dalil.kg/document/800768" TargetMode="External"/><Relationship Id="rId072rzviqkft5oicmnx-cy" Type="http://schemas.openxmlformats.org/officeDocument/2006/relationships/hyperlink" Target="https://dalil.kg/document/800768" TargetMode="External"/><Relationship Id="rIdgw08pwgjdqdyqfdjwue9m" Type="http://schemas.openxmlformats.org/officeDocument/2006/relationships/hyperlink" Target="https://dalil.kg/document/800768" TargetMode="External"/><Relationship Id="rId9x1ps0ml2eezeaqrj_j2r" Type="http://schemas.openxmlformats.org/officeDocument/2006/relationships/hyperlink" Target="https://dalil.kg/document/800768" TargetMode="External"/><Relationship Id="rIdooyya5jdexai4egcnicpw" Type="http://schemas.openxmlformats.org/officeDocument/2006/relationships/hyperlink" Target="https://dalil.kg/document/800768" TargetMode="External"/><Relationship Id="rId9jigiccow6mnng52cjmrv" Type="http://schemas.openxmlformats.org/officeDocument/2006/relationships/hyperlink" Target="https://dalil.kg/document/800768" TargetMode="External"/><Relationship Id="rIdycazo9rgndpbwntsbp9rc" Type="http://schemas.openxmlformats.org/officeDocument/2006/relationships/hyperlink" Target="https://dalil.kg/document/800768" TargetMode="External"/><Relationship Id="rId3hgplslak5yvybxqp5pvd" Type="http://schemas.openxmlformats.org/officeDocument/2006/relationships/hyperlink" Target="https://dalil.kg/document/800768" TargetMode="External"/><Relationship Id="rIdadccc-b5o6aleixslsvz2" Type="http://schemas.openxmlformats.org/officeDocument/2006/relationships/hyperlink" Target="https://dalil.kg/document/800768" TargetMode="External"/><Relationship Id="rIdofgycr66rmiecestlj1mz" Type="http://schemas.openxmlformats.org/officeDocument/2006/relationships/hyperlink" Target="https://dalil.kg/document/800768" TargetMode="External"/><Relationship Id="rIdfr5q6ogvzqjwqh6zvmucd" Type="http://schemas.openxmlformats.org/officeDocument/2006/relationships/hyperlink" Target="https://dalil.kg/document/800768" TargetMode="External"/><Relationship Id="rIdfeerhohefnqif5lwlljcc" Type="http://schemas.openxmlformats.org/officeDocument/2006/relationships/hyperlink" Target="https://dalil.kg/document/800768" TargetMode="External"/><Relationship Id="rIdxe3zi0kzgxzaq2t1g3lpt" Type="http://schemas.openxmlformats.org/officeDocument/2006/relationships/hyperlink" Target="https://dalil.kg/document/800768" TargetMode="External"/><Relationship Id="rId6vp_6jie5xjfzcpdh-_xu" Type="http://schemas.openxmlformats.org/officeDocument/2006/relationships/hyperlink" Target="https://dalil.kg/document/800768" TargetMode="External"/><Relationship Id="rIdxngeiklwfez6gvccdys0g" Type="http://schemas.openxmlformats.org/officeDocument/2006/relationships/hyperlink" Target="https://dalil.kg/document/800768" TargetMode="External"/><Relationship Id="rIdlumczltta0nly-hbntnkw" Type="http://schemas.openxmlformats.org/officeDocument/2006/relationships/hyperlink" Target="https://dalil.kg/document/800768"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2ptkkdwpah2whdrfgf" Type="http://schemas.openxmlformats.org/officeDocument/2006/relationships/hyperlink" Target="https://dalil.kg/document/302787" TargetMode="External"/><Relationship Id="rId3qtwtwhtjt6v0nbr-0o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2026-09-24T22:18:58.697Z</dcterms:created>
  <dcterms:modified xsi:type="dcterms:W3CDTF">2026-09-24T22:18:58.697Z</dcterms:modified>
</cp:coreProperties>
</file>

<file path=docProps/custom.xml><?xml version="1.0" encoding="utf-8"?>
<Properties xmlns="http://schemas.openxmlformats.org/officeDocument/2006/custom-properties" xmlns:vt="http://schemas.openxmlformats.org/officeDocument/2006/docPropsVTypes"/>
</file>