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tuznn8ledlqmlktqm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qekke8nnr4i-jilwjy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jh7xxxgcvedwvztdx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2014 года № 47/8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camwm0tg1kveuly3d9k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7j502lszhlhjz6ne6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s-fkl2vxeovtvq073on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tf-wlzo0wantwbiw5x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государственных ценных бумаг Кыргызской Республики", утвержденным </w:t>
      </w:r>
      <w:hyperlink w:history="1" r:id="rId2ghr77ibu4pcwqncxx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N 556, </w:t>
      </w:r>
      <w:hyperlink w:history="1" r:id="rIdjmswktl6yqeo6cie-0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параллельном размещении и обращении государственных казначейских облигаций Кыргызской Республики с 5-летним сроком обращения" от 9 июля 2015 года № 476, учитывает позицию эмитента государственных ценных бумаг - Министерства финансов Кыргызской Республики (письма Министерства финансов Кыргызской Республики от 22 марта 2013 года N 10-1-2/2733 и от 2 мая 2013 года N 10-1-2/4295) и определяет порядок осуществления Национальным банком Кыргызской Республики (далее - Национальный банк) операций по размещению, повторному предложению, доразмещению, обратному выкупу и проведению расчетов с государственными ценными бумагами Правительства Кыргызской Республики (далее - ГЦБ), выпускаемыми Министерством финансов Кыргызской Республики (далее - Министерство финансов, Эмитент)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zoavbqiumzj42c4suo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осуществляет операции по размещению, повторному предложению, дополнительному (внеаукционному) размещению, обратному выкупу, проведению расчетов по ГЦБ и депозитарному учету ГЦБ на основании договора, заключаемого с Министерством финансов, 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государственных ценных бумаг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2 октября 2008 года N 556,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 Правительства Кыргызской Республики представлены государственными казначейскими векселями (далее - ГКВ) и государственными казначейскими облигациями (далее - ГКО).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и повторное предложение ГЦБ осуществляется Национальным банком на аукционной основе посредством автоматизированной торговой системы Национального банка (далее - АТС). Аукцион проводится методом, при котором заявки удовлетворяются по указанным в них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невозможности использования АТС аукцион проводится при помощи любых иных средств, позволяющих провести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не несет обязательств по государственным ценным бумагам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Дополнительное (внеаукционное) размещение ГЦБ (далее - доразмещение) - размещение ГЦБ сверх объявленного выпуска ГЦБ, осуществляемое Эмитентом через Национальный банк на неконкурентной основе. Доразмещение проводится по средневзвешенной цене, сложившейся на последнем состоявшемся аукционе по размещению ГЦБ соответствующей срочности, и по фиксированной купонной ставке в рамках объявленного Эмитентом объема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Обратный выкуп ГЦБ осуществляется Эмитентом через Национальный банк и проводится по цене, установленной Эмитентом, в рамках объявленного Эмитентом объема обратного выкупа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Присвоение регистрационного номера ГЦБ осуществляется в соответствии с </w:t>
      </w:r>
      <w:hyperlink w:history="1" r:id="rId3rf_omwxlhikt8hcig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Республике", утвержденным </w:t>
      </w:r>
      <w:hyperlink w:history="1" r:id="rIdrjfwhl3oa2mojwdb-xd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от 13 сентября 2010 года N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 правила, установленные </w:t>
      </w:r>
      <w:hyperlink w:history="1" r:id="rId-fscmtmg1l7yw_tieg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hyperlink w:history="1" r:id="rIdroyh8m2ogxf2g7jkpt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N 10/18 (далее - Положение о работе АТС),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участия на аукционах по первичному размещению, доразмещению, повторному предложению и обратному выкупу ГЦБ имеют прямые участники, подключенные к АТС. Непрямые участники принимают участие на аукционах, подавая заявки через коммерческие банки (далее - банки), являющиеся прямыми участниками, и/или приобретают ГЦБ на вторичном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 ГЦБ, при проведении которых удовлетворение заявок производится на конкурентной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(внеаукционное) размещение ГЦБ - неконкурентная продажа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с указанием цены и количества ГЦБ, приобретаемых по указанной (заявленной)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ГЦБ по средневзвешенной цене, сложившейся на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Непрямой участник</w:t>
      </w:r>
      <w:r>
        <w:rPr>
          <w:rFonts w:ascii="Arial" w:cs="Arial" w:eastAsia="Arial" w:hAnsi="Arial"/>
          <w:sz w:val="24"/>
          <w:szCs w:val="24"/>
        </w:rPr>
        <w:t xml:space="preserve"> - физическое, юридическое лицо, не являющееся прямым участником аукциона, подающее заявки на покупку ГЦБ через банк, являющийся прямым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выкуп</w:t>
      </w:r>
      <w:r>
        <w:rPr>
          <w:rFonts w:ascii="Arial" w:cs="Arial" w:eastAsia="Arial" w:hAnsi="Arial"/>
          <w:sz w:val="24"/>
          <w:szCs w:val="24"/>
        </w:rPr>
        <w:t xml:space="preserve"> - операция по покупке Эмитентом ГЦБ, находящихся в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Параметры выпуска</w:t>
      </w:r>
      <w:r>
        <w:rPr>
          <w:rFonts w:ascii="Arial" w:cs="Arial" w:eastAsia="Arial" w:hAnsi="Arial"/>
          <w:sz w:val="24"/>
          <w:szCs w:val="24"/>
        </w:rPr>
        <w:t xml:space="preserve"> - информация о выпуске ГЦБ: номер, дата, объем выпуска, дата погашения и другая информация, характеризирующая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ГЦБ</w:t>
      </w:r>
      <w:r>
        <w:rPr>
          <w:rFonts w:ascii="Arial" w:cs="Arial" w:eastAsia="Arial" w:hAnsi="Arial"/>
          <w:sz w:val="24"/>
          <w:szCs w:val="24"/>
        </w:rPr>
        <w:t xml:space="preserve"> - зачисление номинальной стоимости на счета держателей ГЦБ погашаемого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Повторное предложение ГЦБ</w:t>
      </w:r>
      <w:r>
        <w:rPr>
          <w:rFonts w:ascii="Arial" w:cs="Arial" w:eastAsia="Arial" w:hAnsi="Arial"/>
          <w:sz w:val="24"/>
          <w:szCs w:val="24"/>
        </w:rPr>
        <w:t xml:space="preserve"> - аукционное предложение неразмещенной части объявленного и частично размещенного ранее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участник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Республики, ЗАО "Центральный депозитарий и Агентство по защите депозитов Кыргызской Республики, заключившие с Национальным банком соответствующий договор о работе на рынке ГЦБ, размещаемых через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ojrd4fuunxeq-1qm6n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2014 года № 47/8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jjdwq4d4ccbthknix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отсечения</w:t>
      </w:r>
      <w:r>
        <w:rPr>
          <w:rFonts w:ascii="Arial" w:cs="Arial" w:eastAsia="Arial" w:hAnsi="Arial"/>
          <w:sz w:val="24"/>
          <w:szCs w:val="24"/>
        </w:rPr>
        <w:t xml:space="preserve"> - цена, на которой заканчивается удовлетворение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финансов, выступающее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векселя</w:t>
      </w:r>
      <w:r>
        <w:rPr>
          <w:rFonts w:ascii="Arial" w:cs="Arial" w:eastAsia="Arial" w:hAnsi="Arial"/>
          <w:sz w:val="24"/>
          <w:szCs w:val="24"/>
        </w:rPr>
        <w:t xml:space="preserve"> - краткосрочные, беспроцентные (дисконтные) государственные ценные бумаги (срок обращения от 1 до 12 месяцев, кратный 7, например: начиная с 28 дней по 1-месячным и по 364 дня по 12-месячным). Номинальная стоимость одного ГКВ равна 100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облигации</w:t>
      </w:r>
      <w:r>
        <w:rPr>
          <w:rFonts w:ascii="Arial" w:cs="Arial" w:eastAsia="Arial" w:hAnsi="Arial"/>
          <w:sz w:val="24"/>
          <w:szCs w:val="24"/>
        </w:rPr>
        <w:t xml:space="preserve"> - долгосрочные (свыше 1 года) государственные ценные бумаги с процентным доходом (купоном). Номинальная стоимость одной ГКО и параметры каждого выпуска определяются Эмитентом в момент выпуска ГКО.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предоставления статуса прямого участника на рынке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Банк, желающий работать в качестве прямого участника на рынке ГЦБ, должен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документы, определяющие политику управления рисками при работе с ГЦБ, порядок ведения депозитарного учета ГЦБ, систему внутреннего контроля при работе с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f0nshdv55gztwgjmwz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3rnee4rfs26oq1qkl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подключение к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заключенный с Национальным банком договор о деятельности на рынке ГЦБ, размещаемых через Национальный банк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s2swaiznxt1waql0hk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качестве прямого участника банк принимает на себя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принимать конкурентные и неконкурентные заявки физических лиц-резидентов на аукционы ГЦБ во всех своих филиалах и отделениях;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 безвозмездной основе депозитарный учет и обслуживание операций по ГЦБ, приобретенным от имени и по поручению своих клиентов -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на своем веб-сайте, а также на информационных стендах своих филиалов информацию о средневзвешенных ценах и доходности, сложившихся на последних аукционах по ГЦБ, и информацию о предстоящих аукционах по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установленном Национальным банком формате, а также иную, связанную с деятельностью в качестве прямого участника, информацию по запросам Национального банка и/или Министерства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банк вправе осуществлять проверки на местах и иные проверки на предмет исполнения банками, являющимися прямыми участниками, своих обязанностей, указанных в пункте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или ненадлежащего выполнения банками, являющимися прямыми участниками, своих обязанностей, указанных в пункте 27, Национальный банк вправе ограничить доступ прямого участника на аукционы ГЦБ сроком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Банкам, находящимся в специальных режимах (временное руководство, консервация) может быть предоставлен статус прямого участника при наличии постановления Правления Национального банка о разрешении проводить операции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Институциональным инвесторам - Социальному фонду Кыргызской Республики и Агентству по защите депозитов Кыргызской Республики, заключившим с Национальным банком договор о деятельности на рынке ГЦБ, размещаемых через Национальный банк, при наличии подключения к АТС, предоставляется статус прямого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ЗАО "Центральный депозитарий" может быть предоставлен статус прямого участника при наличии подключения к АТС и договора с Национальным банком о деятельности на рынке ГЦБ, размещаемых через Национальный банк (</w:t>
      </w:r>
      <w:hyperlink w:history="1" r:id="rIdnshfvcgykzwr5uyu-5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В качестве прямого участника ЗАО "Центральный депозитарий" может принимать участие только на аукционах по размещению ГКО с 5-летним сроком обращения и только по поручению и от имени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ynv1tzlsdujnbthe5b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и порядок проведения первичного размещения и повторного предложения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проводит аукцион на основании полученных от Эмитента поручения и глобального сертификата на проведение аукциона по размещению ГЦБ установленных форм. Структура и форма документов на выпуск и размещение ГЦБ согласуются с Национальным банком и утверждаются приказом Эмитента. Документы, необходимые для проведения аукциона ГЦБ, передаются Эмитентом в Национальный банк не позднее, чем за два рабочих дня до даты проведения аукциона. Параметры выпуска ГЦБ публикуются Эмитентом на веб-сайте Эмитента и в средствах массовой информации. Национальный банк публикует параметры выпуска ГЦБ на веб-сайте Национального банка 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 на участие в аукционе по размещению ГЦБ подаются, редактируются и/или отзываются прямыми участниками в АТС в день проведения аукциона с 9.00 ч. до 13.00 ч. После 13.00 ч. дня проведения аукциона все поданные заявки прямых участников являются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 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wal2if1whpcqh_6ehu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p-trtm-equygx6telv6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Прямые участники, за исключением институциональных инвесторов, не могут подавать собственную заявку с неконкурентным предложением.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oilv_v2agd2etqo08i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Собственная заявка прямого участника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заявок - не более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каждой заявке - кратно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одной заявке - не менее 1000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Общее количество ценных бумаг в собственных заявках прямого участника, включая конкурентную и неконкурентную части, не должно превышать количества размещаемых ценных бумаг, т.е. суммарный объем собственных заявок по номиналу не должен превышать объявленного объема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Клиентская заявка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каждому лоту - кратно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одном лоте - не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Ограничение на минимальный объем заявки с неконкурентным предложением, поданной от одного клиента и/или институционального инвестора,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bszeu_fhqdfgs-tgjq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Максимальный объем заявок, поданных от одного клиента, включая конкурентную и неконкурентную части, не должен превышать объявленный объем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Заявки, поданные с нарушением установленного порядка оформления, признаются недействительными и к аукциону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Национальный банк обеспечивает конфиденциальность сведений, указанных в заявках участника аукциона,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Заявки с неконкурентными предложениями удовлетворяются в первую очередь. Максимальный предел удовлетворения составляет 30% от объема выпуска по номинальной стоимости. В случае если суммарный объем заявок с неконкурентными предложениями превышает 30% от объема выпуска ГЦБ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Объем выпуска, оставшийся после удовлетворения заявок с неконкурентными предложениями, распределяется между заявками с конкурентными предложениями. Лоты заявок ранжируются по ценам покупки в порядке их убывания и удовлетворяются, начиная с лота с максимальной ценой, далее - по нисходящей до достижения цены отсечения. В случае, если по цене отсечения подана более чем одна заявка, то распределение ценных бумаг между этими заявками производится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по цене отсечения поданы как собственная заявка банка, так и заявки его клиентов, то распределение ценных бумаг осуществляется между этими заявками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Неконкурентная заявка удовлетворяется по средневзвешенной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обработка допущенных к аукциону заявок осуществляется в АТС в день проведения аукциона с 13.00 ч. до 14.00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Предварительные результаты аукциона передаются Эмитенту в день проведения аукциона не позднее 14.30 ч. посредством АТС для принятия Эмитентом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Эмитент может принять одно из следующих решений: утвердить результаты аукциона или признать аукцион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Эмитент утверждает результаты аукциона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удовлетворение заявок ограничивается 25% превышением объема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удовлетворение заявок обеспечивается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gpmtuh7l8gnmfsviit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Эмитент имеет право признать аукцион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аукционе менее трех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средневзвешенная доходность принятых заявок превышает на 15% средневзвешенную доходность, сложившуюся на последнем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Эмитент утверждает результаты аукциона до 15.30 ч. дня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утверждения Эмитентом результатов аукциона, в АТС проводится окончательная обработка заявок и публикуются сводные результаты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утверждения Эмитентом результатов аукциона, прямым участникам сообщаются сводные результаты аукциона: объемы спроса и размещения, средневзвешенные цены, максимальная цена заявок и цена отсечения, количество участников аукциона; отдельно каждому прямому участнику сообщается количество и стоимость ГЦБ, купленных им и его клиентами по результатам участия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Сводные результаты аукциона публикуются в периодических изданиях и на веб-сайте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Параметры повторного предложения ГЦБ публикуются Эмитентом на веб-сайте Эмитента и в средствах массовой информации. Национальный банк публикует параметры повторного предложения ГЦБ на веб-сайте Национального банка и в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и порядок проведения доразмещения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Информация о параметрах доразмещения ГЦБ публикуется Эмитентом на веб-сайте Эмитента, а также публикуется Национальным банком на веб-сайте Национального банка и в АТС. Право участия в доразмещении ГЦБ имеют прямые участники, подключенные к АТС. Непрямые участники принимают участие в доразмещении ГЦБ, подавая заявки через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и условия предоставления заявок на участие в доразмещении ГЦБ аналогичен порядку предоставления заявок на аукцион по первичному размещению выпусков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nxvv_8w7ytpmwsb2ep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Собственная заявка прямого участника и/или клиентская заявка на доразмещение ГЦБ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заявок - не более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лоту - кратно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по лоту - не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Количество ценных бумаг в собственной заявке прямого участника не должно превышать объявленный объем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Максимальный объем заявки, поданный от одного клиента, не должен превышать объявленный объем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Заявки, поданные с нарушением порядка оформления, признаются недействительными и к аукциону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Национальный банк обеспечивает конфиденциальность сведений, указанных в заявке участника доразмещения,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Заявки участников доразмещения исполняются по количеству ценных бумаг, указанных в них. Стоимость заявки исчисляется путем умножения количества ценных бумаг, указанных в заявке, на средневзвешенную цену, сложившуюся на последнем состоявшемся аукционе по размещению ГЦБ соответствующей срочности. В случае, если суммарный объем заявок превышает объем доразмещения ГЦБ по номинальной стоимости, то распределение ГЦБ между этими заявками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Обработка допущенных к доразмещению заявок в АТС осуществляется в день проведения доразмещения с 13.00 ч. до 14.00 ч. Не позднее 14.30 ч. дня проведения доразмещения результаты доразмещения передаются Эмитенту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Прямым участникам сообщаются сводные результаты аукциона: объемы спроса и размещения, количество участников доразмещения; отдельно каждому прямому участнику сообщается количество и стоимость ГЦБ, купленных им и его клиентами по результатам участия в доразмещении.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Сводные результаты доразмещения публикуются в АТС, периодических изданиях и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Условия и порядок обратного выкупа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Информация об условиях (цена, объем и регистрационный номер покупаемых ГЦБ) и дата проведения обратного выкупа ГЦБ, по которым предлагается обратный выкуп, публикуется Эмитентом на веб-сайте Эмитента, а также публикуется Национальным банком на веб-сайте Национального банка и в АТС. Обратный выкуп ГЦБ осуществляется среди прямых участников, подключенных к АТС, непрямые участники принимают участие, подавая заявки через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Заявки на участие в обратном выкупе ГЦБ подаются, редактируются и/или отзываются прямыми участниками в АТС в день проведения обратного выкупа с 9.00 ч. до 13.00 ч. После 13.00 ч. дня проведения обратного выкупа все поданные заявки прямых участников являются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0f4fsq9j1kvmcgoqge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Минимальное количество ценных бумаг в собственной заявке прямого участника обратного выкупа должно соответствовать требованию: количество ценных бумаг должно быть не менее 100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Количество ценных бумаг в заявке прямого участника не должно превышать количества обратно выкупаемых ценных бумаг, т.е. объем собственной заявки по номиналу не должен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Минимальное количество ценных бумаг, поданное от одного клиента должно соответствовать требованию - быть не менее 10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Количество ценных бумаг, поданное от одного клиента не должно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Заявки, заполненные с нарушением порядка оформления, признаются недействительными и к обратному выкупу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Национальный банк обеспечивает конфиденциальность сведений, указанных в заявке участника обратного выкупа,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Заявки участников обратного выкупа исполняются по количеству ценных бумаг, указанных в них. Стоимость заявки исчисляется путем умножения количества ценных бумаг, указанных в заявке, на цену, установленную Эмитентом. В случае если суммарный объем заявок с предложениями на обратный выкуп превышает установленный Эмитентом объем обратного выкупа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Обработка допущенных к обратному выкупу заявок в АТС осуществляется в день проведения обратного выкупа с 13.00 ч. до 14.00 ч. Не позднее 14.30 ч. дня проведения обратного выкупа результаты обратного выкупа передаются Эмитенту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Окончательные результаты публикуются в АТС не позднее 15.00 ч. дня проведения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Сводные результаты обратного выкупа публикуются в периодических изданиях и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Расчеты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Расчеты по результатам аукциона по размещению и доразмещению осуществляются в дату выпуска ГЦБ, повторного предложения и обратного выкупа осуществляются на следующий рабочий день. Выплата купонных платежей и погашение ГКО осуществляется согласно условиям выпуска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Прямые участники в день выпуска ГЦБ обеспечивают достаточный объем денежных средств в национальной валюте Кыргызской Республики на своем корреспондентском счете в Национальном банке Кыргызской Республики для оплаты купленного количества ГЦБ согласно удовлетворенным заявкам на участие в аукционе по размещению и/или доразмещению.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проведения аукциона по повторному предложению прямые участники на следующий рабочий день обеспечивают достаточный объем денежных средств на своем корреспондентском счете в Национальном банке для оплаты купленного количества ГЦБ, согласно удовлетворенным заявкам на участие в этом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Эмитент на следующий рабочий день после проведения обратного выкупа обеспечивает достаточный объем денежных средств в национальной валюте Кыргызской Республики на текущем счете Центрального казначейства Министерства финансов в Национальном банке для оплаты купленного количества ГЦБ согласно результатам проведенного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Не допускается частичная оплата купленных ГЦБ. В случае если прямой участник аукциона не имеет достаточного объема денежных средств в национальной валюте Кыргызской Республики на своем корреспондентском счете в Национальном банке для оплаты купленных ГЦБ в полном объеме, то его заявка аннулируется. В этом случае прямой участник аукциона обязан выплатить Эмитенту неустойку в размере одного процента от номинальной стоимости купленных ГЦБ, но не более одного процента оплаченного уставного капитала прямого участника аукциона. До выплаты неустойки прямой участник аукциона не допускается на последующие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Национальный банк на основании поручения Эмитента осуществляет выплату купонных платежей по ГЦБ и/или погашение ГЦБ на дату, определенную Эмитентом в соответствии с условиями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Эмитент обеспечивает достаточный объем денежных средств на выплату купонных платежей по ГЦБ и/или погашение ГЦБ на дату, определенную Эмитентом в соответствии с условиями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Порядок проведения расчетов по ГЦБ устанавливается в соответствии с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Методы управления рисками по операциям с ГЦБ определяются внутренними нормативными документами участников аукциона.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 утвержденному постановлением Правления Национального банка от 26 июня 2013 года N 20/1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N 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банка _________________ на рынке государственных ценных бумаг Правительства Кыргызской Республики, размещаемых через Национальный банк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hxrprbxjhdgwzrg1yc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ro9nnihjdotql3isbqi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N ______ от _______ 200__ г., с одной стороны, и _______________, именуемый в дальнейшем "Банк", в лице Председателя Правления 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N ___ от ________ 2013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Банком деятельности в качестве прямого участника на рынке государственных ценных бумаг Правительства Кыргызской Республики, размещаемых через Национальный банк (далее - ГЦБ)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Банку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Банк, желающий работать в качестве прямого участника, должен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2.1.2. (Утратил силу в соответствии с </w:t>
      </w:r>
      <w:hyperlink w:history="1" r:id="rIdeqbrwcn_8acpygbfp_d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2.1.3. (Утратил силу в соответствии с </w:t>
      </w:r>
      <w:hyperlink w:history="1" r:id="rIdmz-uzblnmejekgkt8iq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Банк подтверждает свое соответствие критериям, указанным в пункте 2.1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ГЦБ от своего имени и по поручению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ГЦБ,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ГЦБ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безвозмездной основе принимать конкурентные и неконкурентные заявки физических лиц-резидентов на аукционы ГЦБ во всех своих филиалах и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Вести на безвозмездной основе депозитарный учет и обслуживание операций по ГЦБ, приобретенным от имени и по поручению своих клиентов - физических лиц-резидентов.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Публиковать на своем веб-сайте, а также на информационных стендах своих филиалов информацию о средневзвешенных ценах и доходностях, сложившихся на последних аукционах по ГЦБ, и информацию о предстоящих аукционах по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Обеспечить на корреспондентском счете достаточный объем денежных средств для оплаты в день эмиссии выигранной заявки на аукционе ГЦБ и/или при дополнительном (внеаукционном) размещении ГЦБ. В случае недостаточности средств на корреспондентском счете Банка заявка аннулируется и Банк обязуется оплатить штраф в размере одного процента от номинальной стоимости ГЦБ указанных в выигранной заявке, но не более одного процента уставного капитала Банка. До выплаты штрафа Банк не допускается на последующие аукционы ГЦБ и дополнительные (внеаукционные) размещения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Осуществлять депозитарную деятельность по ГЦБ согласно правилам, установленным Национальным банком, в рамках двухуровневой системы учета (Национальный банк - Головной депозитарий; Банк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ГЦБ на счета своих депонентов при их первичном размещении (по итогам аукциона ГЦБ или дополнительного (внеаукционного) размещения ГЦБ);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ГЦБ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ГЦБ,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ГЦБ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Банка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Предоставлять своим клиентам достоверную информацию о рынке ГЦБ, в том числе информацию о складывающихся на рынке ГЦБ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Обеспечить конфиденциальность сведений, относящихся к ГЦБ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Своевременно предоставлять отчеты в установленном Национальным банком формате, а также иную, связанную с деятельностью Банка в качестве прямого участника, информацию по запросам Национального банка и/или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ГЦБ и/или дополнительные (внеаукционные) размещения ГЦБ.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Осуществлять гражданско-правовые сделки с ГЦБ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</w:t>
      </w:r>
      <w:r>
        <w:rPr>
          <w:rFonts w:ascii="Arial" w:cs="Arial" w:eastAsia="Arial" w:hAnsi="Arial"/>
          <w:sz w:val="24"/>
          <w:szCs w:val="24"/>
        </w:rPr>
        <w:t xml:space="preserve">Национального банка от __________ N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</w:t>
      </w:r>
      <w:r>
        <w:rPr>
          <w:rFonts w:ascii="Arial" w:cs="Arial" w:eastAsia="Arial" w:hAnsi="Arial"/>
          <w:sz w:val="24"/>
          <w:szCs w:val="24"/>
        </w:rPr>
        <w:t xml:space="preserve">банка от 28 марта 2013 года N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Осуществлять надзор за деятельностью Банка на рынке ГЦБ, в том числе посредством проведения проверок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Выступать в качестве Головного депозитария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Перечислять средства с текущего (корреспондентского) счета Банка на текущий счет Центрального Казначейства в Национальном банке на основании удовлетворенной (в полном или частичном объеме) заявки на аукционе ГЦБ и/или при дополнительном (внеаукционном) размещении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Требовать своевременного предоставления установленных форм отчетности, а также иной, связанной с деятельностью Банка,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Применять к Банку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ГЦБ и дополнительных (внеаукционных) размещений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ГЦБ и/или дополнительных (внеаукционных) размещений ГЦБ предоставлять Банку информацию о результатах аукционов ГЦБ или дополнительных (внеаукционных) размещениях ГЦБ,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ГЦБ перечислять на корреспондентский счет Банка в Национальном банке номинальную стоимость погашаемых Министерством финансов Кыргызской Республика эмиссий ГЦБ, учитываемых на депо-счете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Республики купонных платежей по ГЦБ перечислять на корреспондентский счет Банка в Национальном банке сумму выплат по купону, соответствующую количеству ГЦБ, учитываемых на депо-счете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ГЦБ,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Банка, а также несвоевременное или неправильное зачисление Национальным банком суммы, Национальный банк уплачивает в пользу Банка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Банк обязан уведомить и вернуть Национальному банку ошибочно зачисленные суммы. В случае невозврата ошибочно зачисленных сумм, Банк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 расторгнут по инициативе как Национального банка, так 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неисполнении или ненадлежащем исполнении Банком обязанностей по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отношении Банка начата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 Банка приостановлена или отозвана банковская лицензия.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ГЦБ и/или дополнительных (внеаукционных) размещениях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Банк: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г.Бишкек, ул.Уметалиева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
 утвержденному постановлением Правления Национального банка
 № 20/1 от 26.06.2013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№ 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ЗАО "Центральный депозитарий ___________________ на рынке государственных казначейских облигаций с 5-летним сроком обращения, размещаемых через Национальный банк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tkexd-_btszgmz87m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0zewmj6skw7uigewyy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№ ______ от 20__ г., с одной стороны, и ______________, именуемый в дальнейшем "Организация", в лице Председателя Правления 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№ ______ от ____________ 20__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Организацией деятельности в качестве прямого участника на рынке государственных казначейских облигаций с 5-летним сроком обращения, размещаемых через Национальный банк (далее - ГКО с 5-летним сроком обращения)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Организация, желающая работать в качестве прямого участника, должна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Организация подтверждает свое соответствие критериям, указанным в пункте 2.1.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ГКО с 5-летним сроком обращения только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ГКО с 5-летним сроком обращения,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ГКО с 5-летним сроком обращения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Поликовать на своем веб-сайте информацию о средневзвешенных ценах и доходностях, сложившихся на последних аукционах по ГКО с 5-летним сроком обращения, и информацию о предстоящих аукционах по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Обеспечить на счете в Национальном банке достаточный объем денежных средств для оплаты в день эмиссии выигранной заявки на аукционе ГКО с 5-летним сроком обращения и/или при дополнительном (внеаукционном) размещении ГКО с 5-летним сроком обращения. В случае недостаточности средств на счете Организации заявка аннулируется и Организация обязуется оплатить штраф в размере одного процента от номинальной стоимости ГКО с 5-летним сроком обращения, указанных в выигранной заявке. До выплаты штрафа Организация не допускается на последующие аукционы и дополнительные (внеаукционные) размещения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депозитарную деятельность по ГКО с 5-летним сроком обращения согласно правилам, установленным Национальным банком, в рамках двухуровневой системы учета (Национальный банк - Головной депозитарий; Организация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ГКО с 5-летним сроком обращения на счета своих депонентов при их первичном размещении (по итогам аукциона или дополнительного (внеаукционного) размещения ГКО с 5-летним сроком обращения);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ГКО с 5-летним сроком обращения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ГКО с 5-летним сроком обращения,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ГКО с 5-летним сроком обращения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Организации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Предоставлять своим клиентам достоверную информацию о рынке ГКО с 5-летним сроком обращения, в том числе информацию о складывающихся на рынке ГКО с 5-летним сроком обращения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Обеспечить конфиденциальность сведений, относящихся к ГКО с 5-летним сроком обращения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запросам Национального банка и/или Министерства финансов Кыргызской Республики предоставлять любую необходимую Национальному банку и/или Министерству финансов Кыргызской Республики информацию и/или другие необходимые документы, связанные с деятельностью Организации в качестве прямого участника, по форме и в сроки, указанные в запросах.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 с 5-летним сроком обращения и/или дополнительные (внеаукционные) размещения ГКО с 5-летним сроком обращения.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Осуществлять гражданско-правовые сделки с ГКО с 5-летним сроком обращения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через Национальный банк Кыргызской Республики", утвержденным постановлением Правления Национального банка от ______________ №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</w:t>
      </w:r>
      <w:r>
        <w:rPr>
          <w:rFonts w:ascii="Arial" w:cs="Arial" w:eastAsia="Arial" w:hAnsi="Arial"/>
          <w:sz w:val="24"/>
          <w:szCs w:val="24"/>
        </w:rPr>
        <w:t xml:space="preserve">№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Выступать в качестве Головного депозитария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Перечислять средства с счета Организации на текущий счет Центрального Казначейства в Национальном банке на основании удовлетворенной (в полном или частичном объеме) заявки на аукционе ГКО с 5-летним сроком обращения и/или при дополнительном (внеаукционном) размещении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Требовать своевременного предоставления установленных форм отчетности, а также иной, связанной с деятельностью Организации,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Применять к Организации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и дополнительных (внеаукционных) размещений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ГКО с 5-летним сроком обращения и/или дополнительных (внеаукционных) размещений ГКО с 5-летним сроком обращения предоставлять Организации информацию о результатах аукционов или дополнительных (внеаукционных) размещениях ГКО с 5-летним сроком обращения,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ГКО с 5-летним сроком обращения перечислять на счет Организации в Национальном банке номинальную стоимость погашаемых Министерством финансов Кыргызской Республики эмиссий ГКО с 5-летним сроком обращения,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Республике купонных платежей по ГКО с 5-летним сроком обращения перечислять на счет Организации в Национальном банке сумму выплат по купону, соответствующую количеству ГЦБ,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ГКО с 5-летним сроком обращения,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Организации, а также несвоевременное или неправильное зачисление Национальным банком суммы, Национальный банк уплачивает в пользу Организации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Организация обязана уведомить и вернуть Национальному банку ошибочно зачисленные суммы. В случае невозврата ошибочно зачисленных сумм, Организация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быть, расторгнут по инициативе как Национального банка, так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Организацией обязанностей по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Организация предоставляет Национальному банку право производить безакцептное списание денежных средств с счета Организации в Национальном банке по результатам участия Организации на аукционах и/или дополнительных (внеаукционных) размещениях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ЗАО "Центральный депозитарий"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23n6_wsp06wj0f1k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dalil.kg/document/302907</w:t>
      </w:r>
    </w:hyperlink>
  </w:p>
  <w:p>
    <w:pPr>
      <w:spacing w:after="0" w:before="40"/>
      <w:jc w:val="center"/>
    </w:pPr>
    <w:hyperlink w:history="1" r:id="rIdjh1npwqqcxhiqsqvtv3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uznn8ledlqmlktqma4r" Type="http://schemas.openxmlformats.org/officeDocument/2006/relationships/hyperlink" Target="https://dalil.kg/document/800710" TargetMode="External"/><Relationship Id="rIdhqekke8nnr4i-jilwjy7z" Type="http://schemas.openxmlformats.org/officeDocument/2006/relationships/hyperlink" Target="https://dalil.kg/document/302921" TargetMode="External"/><Relationship Id="rIdrejh7xxxgcvedwvztdx_o" Type="http://schemas.openxmlformats.org/officeDocument/2006/relationships/hyperlink" Target="https://dalil.kg/document/302966" TargetMode="External"/><Relationship Id="rIdcamwm0tg1kveuly3d9kzn" Type="http://schemas.openxmlformats.org/officeDocument/2006/relationships/hyperlink" Target="https://dalil.kg/document/800710" TargetMode="External"/><Relationship Id="rIdgh7j502lszhlhjz6ne6wz" Type="http://schemas.openxmlformats.org/officeDocument/2006/relationships/hyperlink" Target="https://dalil.kg/document/800734" TargetMode="External"/><Relationship Id="rIds-fkl2vxeovtvq073on_p" Type="http://schemas.openxmlformats.org/officeDocument/2006/relationships/hyperlink" Target="https://dalil.kg/document/557" TargetMode="External"/><Relationship Id="rIdtf-wlzo0wantwbiw5xfm6" Type="http://schemas.openxmlformats.org/officeDocument/2006/relationships/hyperlink" Target="https://dalil.kg/document/59481" TargetMode="External"/><Relationship Id="rId2ghr77ibu4pcwqncxxelk" Type="http://schemas.openxmlformats.org/officeDocument/2006/relationships/hyperlink" Target="https://dalil.kg/document/59472" TargetMode="External"/><Relationship Id="rIdjmswktl6yqeo6cie-0v9i" Type="http://schemas.openxmlformats.org/officeDocument/2006/relationships/hyperlink" Target="https://dalil.kg/document/97772" TargetMode="External"/><Relationship Id="rIdozoavbqiumzj42c4suozi" Type="http://schemas.openxmlformats.org/officeDocument/2006/relationships/hyperlink" Target="https://dalil.kg/document/800710" TargetMode="External"/><Relationship Id="rId3rf_omwxlhikt8hcigzug" Type="http://schemas.openxmlformats.org/officeDocument/2006/relationships/hyperlink" Target="https://dalil.kg/document/302635" TargetMode="External"/><Relationship Id="rIdrjfwhl3oa2mojwdb-xd94" Type="http://schemas.openxmlformats.org/officeDocument/2006/relationships/hyperlink" Target="https://dalil.kg/document/302634" TargetMode="External"/><Relationship Id="rId-fscmtmg1l7yw_tiegl7s" Type="http://schemas.openxmlformats.org/officeDocument/2006/relationships/hyperlink" Target="https://dalil.kg/document/302635" TargetMode="External"/><Relationship Id="rIdroyh8m2ogxf2g7jkptoot" Type="http://schemas.openxmlformats.org/officeDocument/2006/relationships/hyperlink" Target="https://dalil.kg/document/302634" TargetMode="External"/><Relationship Id="rIdgojrd4fuunxeq-1qm6nqy" Type="http://schemas.openxmlformats.org/officeDocument/2006/relationships/hyperlink" Target="https://dalil.kg/document/302966" TargetMode="External"/><Relationship Id="rId6zjjdwq4d4ccbthknixou" Type="http://schemas.openxmlformats.org/officeDocument/2006/relationships/hyperlink" Target="https://dalil.kg/document/800710" TargetMode="External"/><Relationship Id="rIdkf0nshdv55gztwgjmwz57" Type="http://schemas.openxmlformats.org/officeDocument/2006/relationships/hyperlink" Target="https://dalil.kg/document/302921" TargetMode="External"/><Relationship Id="rId73rnee4rfs26oq1qklujv" Type="http://schemas.openxmlformats.org/officeDocument/2006/relationships/hyperlink" Target="https://dalil.kg/document/302921" TargetMode="External"/><Relationship Id="rIdgs2swaiznxt1waql0hkuu" Type="http://schemas.openxmlformats.org/officeDocument/2006/relationships/hyperlink" Target="https://dalil.kg/document/302921" TargetMode="External"/><Relationship Id="rIdnshfvcgykzwr5uyu-5p9y" Type="http://schemas.openxmlformats.org/officeDocument/2006/relationships/hyperlink" Target="https://dalil.kg/document/800710#p2" TargetMode="External"/><Relationship Id="rIdsynv1tzlsdujnbthe5btf" Type="http://schemas.openxmlformats.org/officeDocument/2006/relationships/hyperlink" Target="https://dalil.kg/document/800710" TargetMode="External"/><Relationship Id="rIdrwal2if1whpcqh_6ehuw1" Type="http://schemas.openxmlformats.org/officeDocument/2006/relationships/hyperlink" Target="https://dalil.kg/document/302921" TargetMode="External"/><Relationship Id="rIdp-trtm-equygx6telv6s7" Type="http://schemas.openxmlformats.org/officeDocument/2006/relationships/hyperlink" Target="https://dalil.kg/document/800710" TargetMode="External"/><Relationship Id="rIdeoilv_v2agd2etqo08ixq" Type="http://schemas.openxmlformats.org/officeDocument/2006/relationships/hyperlink" Target="https://dalil.kg/document/302921" TargetMode="External"/><Relationship Id="rId4bszeu_fhqdfgs-tgjqhq" Type="http://schemas.openxmlformats.org/officeDocument/2006/relationships/hyperlink" Target="https://dalil.kg/document/302921" TargetMode="External"/><Relationship Id="rId0gpmtuh7l8gnmfsviit4l" Type="http://schemas.openxmlformats.org/officeDocument/2006/relationships/hyperlink" Target="https://dalil.kg/document/800734" TargetMode="External"/><Relationship Id="rIddnxvv_8w7ytpmwsb2epum" Type="http://schemas.openxmlformats.org/officeDocument/2006/relationships/hyperlink" Target="https://dalil.kg/document/800710" TargetMode="External"/><Relationship Id="rIdk0f4fsq9j1kvmcgoqgezd" Type="http://schemas.openxmlformats.org/officeDocument/2006/relationships/hyperlink" Target="https://dalil.kg/document/800710" TargetMode="External"/><Relationship Id="rIdshxrprbxjhdgwzrg1ycha" Type="http://schemas.openxmlformats.org/officeDocument/2006/relationships/hyperlink" Target="https://dalil.kg/document/302921" TargetMode="External"/><Relationship Id="rIdro9nnihjdotql3isbqi3z" Type="http://schemas.openxmlformats.org/officeDocument/2006/relationships/hyperlink" Target="https://dalil.kg/document/559" TargetMode="External"/><Relationship Id="rIdeqbrwcn_8acpygbfp_dem" Type="http://schemas.openxmlformats.org/officeDocument/2006/relationships/hyperlink" Target="https://dalil.kg/document/302921" TargetMode="External"/><Relationship Id="rIdmz-uzblnmejekgkt8iqhd" Type="http://schemas.openxmlformats.org/officeDocument/2006/relationships/hyperlink" Target="https://dalil.kg/document/302921" TargetMode="External"/><Relationship Id="rIdktkexd-_btszgmz87mxtz" Type="http://schemas.openxmlformats.org/officeDocument/2006/relationships/hyperlink" Target="https://dalil.kg/document/800710" TargetMode="External"/><Relationship Id="rId0zewmj6skw7uigewyysst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23n6_wsp06wj0f1kl4" Type="http://schemas.openxmlformats.org/officeDocument/2006/relationships/hyperlink" Target="https://dalil.kg/document/302907" TargetMode="External"/><Relationship Id="rIdjh1npwqqcxhiqsqvtv3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2026-09-25T15:14:50.531Z</dcterms:created>
  <dcterms:modified xsi:type="dcterms:W3CDTF">2026-09-25T15:14:50.531Z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