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
 к постановлению Правления
 Национального банка
 Кыргызской Республики
 от 30 мая 2014 года № 24/9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ИНСТРУКЦИЯ
 о порядке соблюдения лимитов открытых валютных позиций кредитными союзами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Правления Нацбанка КР от </w:t>
      </w:r>
      <w:hyperlink w:history="1" r:id="rId94-s3cxudex8r_txnzeu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16 сентября 2015 года № 53/8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Настоящая Инструкция разработана в соответствии с Законами Кыргызской Республики "</w:t>
      </w:r>
      <w:hyperlink w:history="1" r:id="rIdlr_3gbmbtidwckcsr0-p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Национальном банке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olzhijkuhas7bgh3cgkp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банках и банковской деятельности в Кыргызской Республике</w:t>
        </w:r>
      </w:hyperlink>
      <w:r>
        <w:rPr>
          <w:rFonts w:ascii="Arial" w:cs="Arial" w:eastAsia="Arial" w:hAnsi="Arial"/>
          <w:sz w:val="24"/>
          <w:szCs w:val="24"/>
        </w:rPr>
        <w:t xml:space="preserve">" и </w:t>
      </w:r>
      <w:hyperlink w:history="1" r:id="rIdixa0tup1o4xfiyfyqadb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 кредитных союзах"</w:t>
        </w:r>
      </w:hyperlink>
      <w:r>
        <w:rPr>
          <w:rFonts w:ascii="Arial" w:cs="Arial" w:eastAsia="Arial" w:hAnsi="Arial"/>
          <w:sz w:val="24"/>
          <w:szCs w:val="24"/>
        </w:rPr>
        <w:t xml:space="preserve">, в целях предотвращения валютных рисков в деятельности кредитных союзов (далее - КС), в том числе осуществляющих операции в соответствии с исламскими принципами банковского дела и финансирования с учетом требований стандартов Шариата и специальной терминологии, применяемой ими при осуществлении банковских операций в результате осуществления операций по привлечению вкладов (депозитов) от участников КС в иностранной валюте, предоставления участникам КС кредитов на условиях срочности, возвратности и платности в иностранной валюте при наличии у КС лицензии, выданной Национальным банком на осуществление дополнительных услуг (операций) в иностранной валюте.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Правления Нацбанка КР от </w:t>
      </w:r>
      <w:hyperlink w:history="1" r:id="rIdeqyihamsinr70ldumi1v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сентября 2015 года № 53/8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КС при разработке внутренней политики и процедур по контролю за соблюдением лимитов открытых валютных позиций должен руководствоваться требованиями настоящей Инструкции.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КС, осуществляющие операции в соответствии с исламскими принципами банковского дела и финансирования, дополнительно должны руководствоваться стандартами Шариата, утвержденными Организацией бухгалтерского учета и аудита для исламских финансовых институтов (AAOIFI).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Правления Нацбанка КР от </w:t>
      </w:r>
      <w:hyperlink w:history="1" r:id="rIdotn0hnb3izhyybzdi3h-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сентября 2015 года № 53/8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 целях настоящей Инструкции применяются следующие определения: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Валютный риск</w:t>
      </w:r>
      <w:r>
        <w:rPr>
          <w:rFonts w:ascii="Arial" w:cs="Arial" w:eastAsia="Arial" w:hAnsi="Arial"/>
          <w:sz w:val="24"/>
          <w:szCs w:val="24"/>
        </w:rPr>
        <w:t xml:space="preserve"> - это риск получения КС убытков вследствие изменения стоимости требований (активов)/обязательств КС, выраженных в иностранной валюте, при неблагоприятном изменении валютного курса, в тот момент, когда КС имеет открытую валютную позицию по данной валюте. Валютная позиция возникает при осуществлении валютных операций и является показателем степени подверженности КС валютному риску.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Валютные операции</w:t>
      </w:r>
      <w:r>
        <w:rPr>
          <w:rFonts w:ascii="Arial" w:cs="Arial" w:eastAsia="Arial" w:hAnsi="Arial"/>
          <w:sz w:val="24"/>
          <w:szCs w:val="24"/>
        </w:rPr>
        <w:t xml:space="preserve"> - это операции КС по выдаче кредитов своим участникам в иностранной валюте и приему вкладов (депозитов) от своих участников в иностранной валюте, а также иные операции, в результате которых изменяются требования (активы) либо обязательства, выраженные в иностранной валюте.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Чистая валютная позиция</w:t>
      </w:r>
      <w:r>
        <w:rPr>
          <w:rFonts w:ascii="Arial" w:cs="Arial" w:eastAsia="Arial" w:hAnsi="Arial"/>
          <w:sz w:val="24"/>
          <w:szCs w:val="24"/>
        </w:rPr>
        <w:t xml:space="preserve"> - это разница между требованиями (активами) и обязательствами КС в каждой отдельной иностранной валюте.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несовпадении требований (активов) и обязательств КС в соответствующих валютах валютная позиция считается открытой, а в случае равенства - закрытой.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Открытая валютная позиция КС может быть длинной (в случае превышения требований (активов) КС в соответствующей валюте над его обязательствами в той же валюте), или короткой (при превышении обязательств над требованиями (активами)). Длинная валютная позиция записывается со знаком "+", короткая - со знаком "-".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Официальный курс</w:t>
      </w:r>
      <w:r>
        <w:rPr>
          <w:rFonts w:ascii="Arial" w:cs="Arial" w:eastAsia="Arial" w:hAnsi="Arial"/>
          <w:sz w:val="24"/>
          <w:szCs w:val="24"/>
        </w:rPr>
        <w:t xml:space="preserve"> - официальный курс иностранных валют по отношению к кыргызскому сому, определяемый Национальным банком в соответствии с </w:t>
      </w:r>
      <w:hyperlink w:history="1" r:id="rIdyu4fpv-u2pglcbi9msxs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Правилами</w:t>
        </w:r>
      </w:hyperlink>
      <w:r>
        <w:rPr>
          <w:rFonts w:ascii="Arial" w:cs="Arial" w:eastAsia="Arial" w:hAnsi="Arial"/>
          <w:sz w:val="24"/>
          <w:szCs w:val="24"/>
        </w:rPr>
        <w:t xml:space="preserve"> определения Национальным банком Кыргызской Республики официальных курсов иностранных валют по отношению к кыргызскому сому, утвержденными </w:t>
      </w:r>
      <w:hyperlink w:history="1" r:id="rIdtk8ysc-aeaezg_kezkvl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от 28 марта 2013 г. № 10/15.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Суммарная валютная позиция</w:t>
      </w:r>
      <w:r>
        <w:rPr>
          <w:rFonts w:ascii="Arial" w:cs="Arial" w:eastAsia="Arial" w:hAnsi="Arial"/>
          <w:sz w:val="24"/>
          <w:szCs w:val="24"/>
        </w:rPr>
        <w:t xml:space="preserve"> - это сумма всех чистых валютных позиций КС по каждой иностранной валюте, рассчитанная по методу "short hand" в порядке, определенном в пункте 9 настоящей Инструкции.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Лимиты открытых валютных позиций</w:t>
      </w:r>
      <w:r>
        <w:rPr>
          <w:rFonts w:ascii="Arial" w:cs="Arial" w:eastAsia="Arial" w:hAnsi="Arial"/>
          <w:sz w:val="24"/>
          <w:szCs w:val="24"/>
        </w:rPr>
        <w:t xml:space="preserve"> - это устанавливаемые Национальным банком ограничения, выраженные в процентном отношении открытых валютных позиций (по каждой иностранной валюте и суммарной) к суммарному капиталу КС. В расчет принимается размер суммарного капитала КС по состоянию на 1 число отчетного месяца. Открытые валютные позиции рассчитываются в кыргызских сомах по официальному курсу, устанавливаемому Национальным банком. Лимиты открытых валютных позиций рассчитываются в процентах с округлением до двух десятичных знаков после запятой.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Дата заключения сделки - это дата достижения сторонами соглашения по основным условиям сделки (виды валют, обменный курс, суммы средств, дата валютирования и др.).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Дата валютирования</w:t>
      </w:r>
      <w:r>
        <w:rPr>
          <w:rFonts w:ascii="Arial" w:cs="Arial" w:eastAsia="Arial" w:hAnsi="Arial"/>
          <w:sz w:val="24"/>
          <w:szCs w:val="24"/>
        </w:rPr>
        <w:t xml:space="preserve"> - это дата, в которую происходит зачисление средств на счета участников сделки.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Порядок расчета открытых валютных позиций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По состоянию на конец каждого операционного дня КС должен рассчитывать следующие показатели: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чистые валютные позиции по каждой иностранной валюте;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суммарную валютную позицию.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Чистые валютные позиции рассчитываются отдельно по каждой иностранной валюте как чистая спот-позиция в иностранной валюте. Данная величина рассчитывается как разница между балансовыми активами и балансовыми обязательствами, включая начисленные процентные доходы/расходы в данной иностранной валюте. При этом активы и обязательства включаются в расчет по чистой балансовой стоимости.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Забалансовые обязательства в расчет валютной позиции не включаются.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Валютные операции включаются в расчет валютной позиции с даты заключения сделки и ее отражения в балансе, в том числе операции, содержащие будущую дату валютирования, не являющуюся датой заключения сделки.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Расчет чистых валютных позиций по каждой иностранной валюте производится в сомовом эквиваленте по действующему на отчетную дату официальному курсу, устанавливаемому Национальным банком.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Суммарная открытая валютная позиция по всем иностранным валютам рассчитывается с использованием метода "short hand", то есть расчет осуществляется путем суммирования отдельно всех длинных чистых валютных позиций и отдельно всех коротких чистых валютных позиций по каждой иностранной валюте. Затем полученные величины сравниваются друг с другом (в абсолютной величине, выраженной в кыргызских сомах по официальному курсу, устанавливаемому Национальным банком), и наибольшая из двух величин (сумма всех длинных чистых валютных позиций или сумма всех коротких чистых валютных позиций) используется при расчете лимита суммарной открытой валютной позиции.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Лимиты открытых валютных позиций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В целях регулирования валютного, риска КС Национальный банк устанавливает следующие лимиты открытых валютных позиций: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 состоянию на конец операционного дня размер открытой длинной/короткой валютной позиции по каждой иностранной валюте не должен превышать: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валют, официальные курсы которых определяются Национальным банком - 15% от суммарного капитала КС, рассчитанного по состоянию на 1 число отчетного месяца;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валют, официальные курсы которых не определяются Национальным банком, чистая валютная позиция должна быть закрытой;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 состоянию на конец операционного дня размер суммарной валютной позиции по всем иностранным валютам, официальные курсы которых определяются Национальным банком, не должен превышать 20% от суммарного капитала КС, рассчитанного по состоянию на 1 число отчетного месяца.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КС обязаны соблюдать установленные лимиты открытых валютных позиций на конец каждого операционного дня.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Превышения установленных лимитов открытых валютных позиций не могут переноситься КС на следующий операционный день. До конца текущего операционного дня лимиты должны быть приведены в соответствие с требованиями Национального банка.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Величина открытых валютных позиций в течение операционного дня контролируется КС самостоятельно, исходя из собственной оценки допустимого уровня валютного риска. При этом каждый КС должен удерживать размеры валютного риска в течение дня в соответствии с внутренней политикой управления валютными рисками, утвержденной Общим собранием кредитного союза.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Предельное значение лимита суммарной открытой валютной позиции для отдельных КС может быть снижено решением Комитета по надзору Национального банка, в случае выявления чрезвычайно высокого уровня валютного риска, принимаемого на себя данными КС.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Отчет об открытых валютных позициях и порядок его представления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КС в первый рабочий день, следующий за отчетной неделей, до 9.00 представляют в Национальный банк, а расположенные в других областях республики - в соответствующее областное управление, Представительство Национального банка в Баткенской области на бумажных и электронных носителях отчет об открытых валютных позициях за отчетную неделю по состоянию на конец каждого операционного дня отчетной недели согласно </w:t>
      </w:r>
      <w:hyperlink w:history="1" r:id="rIdikvieqez-dpht9vkujnq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настоящей Инструкции.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КС, осуществляющие операции в соответствии с исламскими принципами банковского дела и финансирования в рамках "исламского окна", в первый рабочий день, следующий за отчетной неделей, до 9.00 представляют в Национальный банк, а расположенные в других областях республики - в соответствующее областное управление, Представительство Национального банка в Баткенской области на бумажных и электронных носителях следующие отчеты об открытых валютных позициях: по операциям, осуществляемым в соответствии с исламскими принципами банковского дела и финансирования; по операциям, отличным от операций, осуществляемых в соответствии с исламскими принципами банковского дела и финансирования; сводный отчет по всем операциям КС в иностранной валюте.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Правления Нацбанка КР от </w:t>
      </w:r>
      <w:hyperlink w:history="1" r:id="rIdlvb2qmwk8coqh1wrxj6v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сентября 2015 года № 53/8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КС, имеющие филиалы, должны представлять в отчете сводные данные по открытым валютным позициям с учетом данных всех филиалов.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Санкции за нарушение установленных лимитов открытых валютных позиций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При нарушении КС установленных лимитов открытых валютных позиций, Национальный банк применяет к КС меры воздействия в соответствии с </w:t>
      </w:r>
      <w:hyperlink w:history="1" r:id="rIdyvfa7od36dfencnjoksx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о мерах воздействия, применяемых к кредитным союзам, утвержденным </w:t>
      </w:r>
      <w:hyperlink w:history="1" r:id="rIdh9hrkvemadi0545vhuve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от 23 марта 2006 г. № 7/5.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18. При систематическом (2 и более раза за последовательные 30 календарных дней) нарушении КС установленных лимитов, Национальный банк может применить меры воздействия, предусмотренные законодательством и нормативными правовыми актами Национального банка, вплоть до отзыва лицензии.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19. Любые попытки КС каким-либо образом избежать отражения в отчете реальной валютной позиции рассматриваются как: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попытки ввести Национальный банк в заблуждение;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небезопасная или ненадежная финансовая деятельность;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манипуляция валютной позицией с целью искажения ее реальной величины, то есть проведение сомнительных операций, происхождение и совершение которых не поддаются четкой идентификации и/или, если эти операции влияют на финансовую отчетность КС и его экономические нормативы;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предоставление КС недостоверной финансовой и регулятивной отчетности.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недостоверном отражении валютной позиции к КС будут применяться соответствующие санкции, вплоть до отзыва лицензии.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20. В случае нарушения любого из требований настоящей Инструкции руководство КС обязано незамедлительно информировать Национальный банк о допущенных нарушениях и представить в двухдневный срок письменные объяснения о причинах допущенного нарушения с приложением перечня мер, принятых КС с целью его устранения.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Организация внутреннего контроля по операциям с иностранной валютой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21. Для осуществления операций с иностранной валютой КС должны разработать внутреннюю политику управления валютными рисками и организовать адекватный внутренний контроль.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22. По каждой из проводимых операций с иностранной валютой должны быть разработаны соответствующие процедуры, в которых должны быть отражены, как минимум, следующее: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разграничение функциональных обязанностей сотрудников КС таким образом, чтобы один сотрудник не мог исполнить и/или контролировать какой-либо процесс в полном объеме от инициирования сделки до ее учета в бухгалтерских книгах;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четкий порядок санкционирования объема проводимых операций соответствующими уполномоченными сотрудниками КС;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внутренние лимиты открытых валютных позиций по каждой иностранной валюте и в целом по всем валютам;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уровень достаточности информации о надежности контр-агентов, в зависимости от характера и степени риска совершаемых операций и категории контр-агента;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требования к ревизионной комиссии/внешнему (независимому) аудиту при проведении проверок валютных операций (как минимум, независимость членов ревизионной комиссии/внешних аудиторов и наличие у них необходимой квалификации и знаний);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требования по учету и отчетности по валютным операциям для КС и его филиалов (форма, частота представления, ответственность).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Особенности валютных операций КС, осуществляющего операции в соответствии с исламскими принципами банковского дела и финансирования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(Раздел в редакции </w:t>
      </w:r>
      <w:hyperlink w:history="1" r:id="rIdhsbyql2ggnqqcmyrymbm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Правления Нацбанка КР от 16 сентября 2015 года № 53/8)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23. КС вправе совершать сделки по купле-продаже иностранной валюты при условии их соответствии следующим правилам стандартов Шариата: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 стороны должны иметь в наличии валюту, подлежащую обмену на противоположную, перед тем как совершить обмен;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единицы валюты обмена должны быть одинаковой суммы, даже если одна из них является банкнотой, а другая монетой одной страны;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валютный контракт не должен включать условий или оговорок об отсрочке по вопросам передачи одной или обеих единиц обмена;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валютные операции не должны производиться на фьючерсных и форвардных рынках.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24. Параллельная покупка и продажа валюты не разрешается, так как она включает один из следующих факторов: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отсутствует передача и получение двух купленных и проданных валют, что приводит контракт к отсрочке продажи валюты;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договор о продаже валюты становится зависимым от другого контракта о продаже валюты;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ведет к двустороннему принудительному обязательству обеих сторон об обмене валюты, что само по себе, не разрешается.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25. Политика, процедуры и типовые контракты КС по осуществлению операций в иностранной валюте должны быть одобрены Шариатским советом.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Правления Нацбанка КР от </w:t>
      </w:r>
      <w:hyperlink w:history="1" r:id="rIdkijxdjibi1w-edphkzax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сентября 2015 года № 53/8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  <w:r>
        <w:rPr>
          <w:rFonts w:ascii="Arial" w:cs="Arial" w:eastAsia="Arial" w:hAnsi="Arial"/>
          <w:sz w:val="24"/>
          <w:szCs w:val="24"/>
        </w:rPr>
        <w:t xml:space="preserve">
 к Инструкции о порядке соблюдения лимитов открытых валютных позиций кредитными союзами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ОТЧЕТ
 об открытых валютных позициях (ОВП)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 "__" ______ 20_г.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(наименование КС)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(дата)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СК: ________________________ тыс. сом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810"/>
        <w:gridCol w:w="2282"/>
        <w:gridCol w:w="1217"/>
        <w:gridCol w:w="1217"/>
        <w:gridCol w:w="1490"/>
        <w:gridCol w:w="1081"/>
        <w:gridCol w:w="1081"/>
      </w:tblGrid>
      <w:tr>
        <w:tc>
          <w:tcPr>
            <w:tcW w:type="dxa" w:w="1810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Вид валюты/День недели</w:t>
            </w:r>
          </w:p>
        </w:tc>
        <w:tc>
          <w:tcPr>
            <w:tcW w:type="dxa" w:w="2282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Официальный курс, устанавливаемый Национальным банком</w:t>
            </w:r>
          </w:p>
        </w:tc>
        <w:tc>
          <w:tcPr>
            <w:tcW w:type="dxa" w:w="1217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Величина ОВП
 (тыс. сом)</w:t>
            </w:r>
          </w:p>
        </w:tc>
        <w:tc>
          <w:tcPr>
            <w:tcW w:type="dxa" w:w="1217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Величина ОВП
 (% к СК)</w:t>
            </w:r>
          </w:p>
        </w:tc>
        <w:tc>
          <w:tcPr>
            <w:tcW w:type="dxa" w:w="1490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Отклонение от лимита
 (%)</w:t>
            </w:r>
          </w:p>
        </w:tc>
        <w:tc>
          <w:tcPr>
            <w:tcW w:type="dxa" w:w="2162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Дополнительно:
 Остатки по незавершенным спот-сделкам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продажа</w:t>
            </w:r>
          </w:p>
        </w:tc>
        <w:tc>
          <w:tcPr>
            <w:tcW w:type="dxa" w:w="10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покупка</w:t>
            </w:r>
          </w:p>
        </w:tc>
      </w:tr>
      <w:tr>
        <w:tc>
          <w:tcPr>
            <w:tcW w:type="dxa" w:w="10178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Доллары США</w:t>
            </w:r>
          </w:p>
        </w:tc>
      </w:tr>
      <w:tr>
        <w:tc>
          <w:tcPr>
            <w:tcW w:type="dxa" w:w="18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Пн</w:t>
            </w:r>
          </w:p>
        </w:tc>
        <w:tc>
          <w:tcPr>
            <w:tcW w:type="dxa" w:w="22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8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Вт</w:t>
            </w:r>
          </w:p>
        </w:tc>
        <w:tc>
          <w:tcPr>
            <w:tcW w:type="dxa" w:w="22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8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</w:t>
            </w:r>
          </w:p>
        </w:tc>
        <w:tc>
          <w:tcPr>
            <w:tcW w:type="dxa" w:w="22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8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Чт</w:t>
            </w:r>
          </w:p>
        </w:tc>
        <w:tc>
          <w:tcPr>
            <w:tcW w:type="dxa" w:w="22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8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Пт</w:t>
            </w:r>
          </w:p>
        </w:tc>
        <w:tc>
          <w:tcPr>
            <w:tcW w:type="dxa" w:w="22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Евро</w:t>
            </w:r>
          </w:p>
        </w:tc>
      </w:tr>
      <w:tr>
        <w:tc>
          <w:tcPr>
            <w:tcW w:type="dxa" w:w="18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Пн</w:t>
            </w:r>
          </w:p>
        </w:tc>
        <w:tc>
          <w:tcPr>
            <w:tcW w:type="dxa" w:w="22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8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Вт</w:t>
            </w:r>
          </w:p>
        </w:tc>
        <w:tc>
          <w:tcPr>
            <w:tcW w:type="dxa" w:w="22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8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</w:t>
            </w:r>
          </w:p>
        </w:tc>
        <w:tc>
          <w:tcPr>
            <w:tcW w:type="dxa" w:w="22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8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Чт</w:t>
            </w:r>
          </w:p>
        </w:tc>
        <w:tc>
          <w:tcPr>
            <w:tcW w:type="dxa" w:w="22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8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Пт</w:t>
            </w:r>
          </w:p>
        </w:tc>
        <w:tc>
          <w:tcPr>
            <w:tcW w:type="dxa" w:w="22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Казахский тенге</w:t>
            </w:r>
          </w:p>
        </w:tc>
      </w:tr>
      <w:tr>
        <w:tc>
          <w:tcPr>
            <w:tcW w:type="dxa" w:w="18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Пн</w:t>
            </w:r>
          </w:p>
        </w:tc>
        <w:tc>
          <w:tcPr>
            <w:tcW w:type="dxa" w:w="22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8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Вт</w:t>
            </w:r>
          </w:p>
        </w:tc>
        <w:tc>
          <w:tcPr>
            <w:tcW w:type="dxa" w:w="22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8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</w:t>
            </w:r>
          </w:p>
        </w:tc>
        <w:tc>
          <w:tcPr>
            <w:tcW w:type="dxa" w:w="22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8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Чт</w:t>
            </w:r>
          </w:p>
        </w:tc>
        <w:tc>
          <w:tcPr>
            <w:tcW w:type="dxa" w:w="22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8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Пт</w:t>
            </w:r>
          </w:p>
        </w:tc>
        <w:tc>
          <w:tcPr>
            <w:tcW w:type="dxa" w:w="22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Российский рубль</w:t>
            </w:r>
          </w:p>
        </w:tc>
      </w:tr>
      <w:tr>
        <w:tc>
          <w:tcPr>
            <w:tcW w:type="dxa" w:w="18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Пн</w:t>
            </w:r>
          </w:p>
        </w:tc>
        <w:tc>
          <w:tcPr>
            <w:tcW w:type="dxa" w:w="22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8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Вт</w:t>
            </w:r>
          </w:p>
        </w:tc>
        <w:tc>
          <w:tcPr>
            <w:tcW w:type="dxa" w:w="22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8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</w:t>
            </w:r>
          </w:p>
        </w:tc>
        <w:tc>
          <w:tcPr>
            <w:tcW w:type="dxa" w:w="22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8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Чт</w:t>
            </w:r>
          </w:p>
        </w:tc>
        <w:tc>
          <w:tcPr>
            <w:tcW w:type="dxa" w:w="22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8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Пт</w:t>
            </w:r>
          </w:p>
        </w:tc>
        <w:tc>
          <w:tcPr>
            <w:tcW w:type="dxa" w:w="22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 (другая валюта)</w:t>
            </w:r>
          </w:p>
        </w:tc>
      </w:tr>
      <w:tr>
        <w:tc>
          <w:tcPr>
            <w:tcW w:type="dxa" w:w="18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Пн</w:t>
            </w:r>
          </w:p>
        </w:tc>
        <w:tc>
          <w:tcPr>
            <w:tcW w:type="dxa" w:w="22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8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Вт</w:t>
            </w:r>
          </w:p>
        </w:tc>
        <w:tc>
          <w:tcPr>
            <w:tcW w:type="dxa" w:w="22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8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</w:t>
            </w:r>
          </w:p>
        </w:tc>
        <w:tc>
          <w:tcPr>
            <w:tcW w:type="dxa" w:w="22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8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Чт</w:t>
            </w:r>
          </w:p>
        </w:tc>
        <w:tc>
          <w:tcPr>
            <w:tcW w:type="dxa" w:w="22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8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Пт</w:t>
            </w:r>
          </w:p>
        </w:tc>
        <w:tc>
          <w:tcPr>
            <w:tcW w:type="dxa" w:w="22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 (другая валюта)</w:t>
            </w:r>
          </w:p>
        </w:tc>
      </w:tr>
      <w:tr>
        <w:tc>
          <w:tcPr>
            <w:tcW w:type="dxa" w:w="18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Пн</w:t>
            </w:r>
          </w:p>
        </w:tc>
        <w:tc>
          <w:tcPr>
            <w:tcW w:type="dxa" w:w="22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8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Вт</w:t>
            </w:r>
          </w:p>
        </w:tc>
        <w:tc>
          <w:tcPr>
            <w:tcW w:type="dxa" w:w="22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8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</w:t>
            </w:r>
          </w:p>
        </w:tc>
        <w:tc>
          <w:tcPr>
            <w:tcW w:type="dxa" w:w="22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8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Чт</w:t>
            </w:r>
          </w:p>
        </w:tc>
        <w:tc>
          <w:tcPr>
            <w:tcW w:type="dxa" w:w="22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8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Пт</w:t>
            </w:r>
          </w:p>
        </w:tc>
        <w:tc>
          <w:tcPr>
            <w:tcW w:type="dxa" w:w="22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30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Суммарная ОВП: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8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Пн</w:t>
            </w:r>
          </w:p>
        </w:tc>
        <w:tc>
          <w:tcPr>
            <w:tcW w:type="dxa" w:w="349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8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Вт</w:t>
            </w:r>
          </w:p>
        </w:tc>
        <w:tc>
          <w:tcPr>
            <w:tcW w:type="dxa" w:w="349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8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</w:t>
            </w:r>
          </w:p>
        </w:tc>
        <w:tc>
          <w:tcPr>
            <w:tcW w:type="dxa" w:w="349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8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Чт</w:t>
            </w:r>
          </w:p>
        </w:tc>
        <w:tc>
          <w:tcPr>
            <w:tcW w:type="dxa" w:w="349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8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Пт</w:t>
            </w:r>
          </w:p>
        </w:tc>
        <w:tc>
          <w:tcPr>
            <w:tcW w:type="dxa" w:w="349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СК - суммарный капитал КС.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mt5rcvbggjvjbxkzsgs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dalil.kg/document/302947</w:t>
      </w:r>
    </w:hyperlink>
  </w:p>
  <w:p>
    <w:pPr>
      <w:spacing w:after="0" w:before="40"/>
      <w:jc w:val="center"/>
    </w:pPr>
    <w:hyperlink w:history="1" r:id="rIdbgvubn4yxkwmbbau2vsr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94-s3cxudex8r_txnzeu-" Type="http://schemas.openxmlformats.org/officeDocument/2006/relationships/hyperlink" Target="https://dalil.kg/document/303026" TargetMode="External"/><Relationship Id="rIdlr_3gbmbtidwckcsr0-p5" Type="http://schemas.openxmlformats.org/officeDocument/2006/relationships/hyperlink" Target="https://dalil.kg/document/559" TargetMode="External"/><Relationship Id="rIdolzhijkuhas7bgh3cgkps" Type="http://schemas.openxmlformats.org/officeDocument/2006/relationships/hyperlink" Target="https://dalil.kg/document/560" TargetMode="External"/><Relationship Id="rIdixa0tup1o4xfiyfyqadbh" Type="http://schemas.openxmlformats.org/officeDocument/2006/relationships/hyperlink" Target="https://dalil.kg/document/280" TargetMode="External"/><Relationship Id="rIdeqyihamsinr70ldumi1vq" Type="http://schemas.openxmlformats.org/officeDocument/2006/relationships/hyperlink" Target="https://dalil.kg/document/303026" TargetMode="External"/><Relationship Id="rIdotn0hnb3izhyybzdi3h-t" Type="http://schemas.openxmlformats.org/officeDocument/2006/relationships/hyperlink" Target="https://dalil.kg/document/303026" TargetMode="External"/><Relationship Id="rIdyu4fpv-u2pglcbi9msxsl" Type="http://schemas.openxmlformats.org/officeDocument/2006/relationships/hyperlink" Target="https://dalil.kg/document/302632" TargetMode="External"/><Relationship Id="rIdtk8ysc-aeaezg_kezkvlu" Type="http://schemas.openxmlformats.org/officeDocument/2006/relationships/hyperlink" Target="https://dalil.kg/document/302633" TargetMode="External"/><Relationship Id="rIdikvieqez-dpht9vkujnqj" Type="http://schemas.openxmlformats.org/officeDocument/2006/relationships/hyperlink" Target="https://dalil.kg/document/302947#p1" TargetMode="External"/><Relationship Id="rIdlvb2qmwk8coqh1wrxj6vm" Type="http://schemas.openxmlformats.org/officeDocument/2006/relationships/hyperlink" Target="https://dalil.kg/document/303026" TargetMode="External"/><Relationship Id="rIdyvfa7od36dfencnjoksx1" Type="http://schemas.openxmlformats.org/officeDocument/2006/relationships/hyperlink" Target="https://dalil.kg/document/300418" TargetMode="External"/><Relationship Id="rIdh9hrkvemadi0545vhuvee" Type="http://schemas.openxmlformats.org/officeDocument/2006/relationships/hyperlink" Target="https://dalil.kg/document/300417" TargetMode="External"/><Relationship Id="rIdhsbyql2ggnqqcmyrymbmv" Type="http://schemas.openxmlformats.org/officeDocument/2006/relationships/hyperlink" Target="https://dalil.kg/document/303026" TargetMode="External"/><Relationship Id="rIdkijxdjibi1w-edphkzaxu" Type="http://schemas.openxmlformats.org/officeDocument/2006/relationships/hyperlink" Target="https://dalil.kg/document/303026" TargetMode="External"/><Relationship Id="rId8" Type="http://schemas.openxmlformats.org/officeDocument/2006/relationships/image" Target="media/8de64316e95979c063c17bcd5380dc052a2594e9.png"/><Relationship Id="rId2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mt5rcvbggjvjbxkzsgsz" Type="http://schemas.openxmlformats.org/officeDocument/2006/relationships/hyperlink" Target="https://dalil.kg/document/302947" TargetMode="External"/><Relationship Id="rIdbgvubn4yxkwmbbau2vsr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2026-09-25T10:24:48.497Z</dcterms:created>
  <dcterms:modified xsi:type="dcterms:W3CDTF">2026-09-25T10:24:48.497Z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