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qf6no8teowo8runmz51kk">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24 сентября 2014 года № 42/8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классификации активов и соответствующих отчислениях в резерв на покрытие потенциальных потерь и убытков микрофинансовыми организациями, осуществляющими операции в соответствии с исламскими принципами банковского дела и финансирования"</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goi8f_jkephgdk2nht0b">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 </w:t>
      </w:r>
      <w:hyperlink w:history="1" r:id="rIdhghao7-d5j35qo66yoinm">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 </w:t>
      </w:r>
    </w:p>
    <w:p>
      <w:pPr>
        <w:spacing w:after="60"/>
        <w:ind w:firstLine="567"/>
        <w:jc w:val="both"/>
      </w:pPr>
      <w:r>
        <w:rPr>
          <w:rFonts w:ascii="Arial" w:cs="Arial" w:eastAsia="Arial" w:hAnsi="Arial"/>
          <w:i/>
          <w:iCs/>
          <w:sz w:val="24"/>
          <w:szCs w:val="24"/>
        </w:rPr>
        <w:t xml:space="preserve">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31 мая 2017 года № 21/10)</w:t>
      </w:r>
    </w:p>
    <w:p>
      <w:pPr>
        <w:spacing w:after="60"/>
        <w:ind w:firstLine="567"/>
        <w:jc w:val="both"/>
      </w:pPr>
      <w:r>
        <w:rPr>
          <w:rFonts w:ascii="Arial" w:cs="Arial" w:eastAsia="Arial" w:hAnsi="Arial"/>
          <w:sz w:val="24"/>
          <w:szCs w:val="24"/>
        </w:rPr>
        <w:t xml:space="preserve">2. Настоящее Положение определяет общие принципы системы классификации активов и резервов на покрытие потенциальных потерь и убытков (далее - РППУ), для микрофинансовых организаций, включая микрофинансовые организации, имеющие "исламское окно", не имеющих лицензии на право привлечения денежных средств (далее - МФО), осуществляющих свою деятельность в соответствии с исламскими принципами банковского дела и финансирования на основании свидетельства/лицензии Национального банка Кыргызской Республики (далее - Национальный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Для своевременного покрытия потенциальных потерь и убытков, а также в целях определения реального финансового состояния и эффективности работы, МФО обязаны на постоянной основе проводить оценку качества активов (классифицировать), указанных в пункте 14 настоящего Положения, а также создавать соответствующее РППУ на уровне, достаточном для покрытия возможных потерь и убытков по активам.</w:t>
      </w:r>
    </w:p>
    <w:p>
      <w:pPr>
        <w:spacing w:after="60"/>
        <w:ind w:firstLine="567"/>
        <w:jc w:val="both"/>
      </w:pPr>
      <w:r>
        <w:rPr>
          <w:rFonts w:ascii="Arial" w:cs="Arial" w:eastAsia="Arial" w:hAnsi="Arial"/>
          <w:sz w:val="24"/>
          <w:szCs w:val="24"/>
        </w:rPr>
        <w:t xml:space="preserve">4. РППУ создается при обесценении активов, то есть при снижении их стоимости вследствие неисполнения или ненадлежащего исполнения клиентом/партнером/поставщиком (далее - клиент) МФО обязательств по активу, предусмотренных условиями договора, либо существования реальной угрозы неисполнения (ненадлежащего исполнения) данных обязательств.</w:t>
      </w:r>
    </w:p>
    <w:p>
      <w:pPr>
        <w:spacing w:after="60"/>
        <w:ind w:firstLine="567"/>
        <w:jc w:val="both"/>
      </w:pPr>
      <w:r>
        <w:rPr>
          <w:rFonts w:ascii="Arial" w:cs="Arial" w:eastAsia="Arial" w:hAnsi="Arial"/>
          <w:sz w:val="24"/>
          <w:szCs w:val="24"/>
        </w:rPr>
        <w:t xml:space="preserve">Величина снижения стоимости актива определяется как разность между балансовой стоимостью актива (остатком задолженности по активу) на момент оценки качества актива, и ее реальной (текущей) стоимостью на момент оценки, произведенной в соответствии с нормами настоящего Положения.</w:t>
      </w:r>
    </w:p>
    <w:p>
      <w:pPr>
        <w:spacing w:after="60"/>
        <w:ind w:firstLine="567"/>
        <w:jc w:val="both"/>
      </w:pPr>
      <w:r>
        <w:rPr>
          <w:rFonts w:ascii="Arial" w:cs="Arial" w:eastAsia="Arial" w:hAnsi="Arial"/>
          <w:sz w:val="24"/>
          <w:szCs w:val="24"/>
        </w:rPr>
        <w:t xml:space="preserve">5. МФО могут разработать внутреннюю систему классификации активов, не нарушая при этом значения отчислений на формирование РППУ, установленные в настоящем Положении.</w:t>
      </w:r>
    </w:p>
    <w:p>
      <w:pPr>
        <w:spacing w:after="200" w:before="200"/>
        <w:jc w:val="center"/>
      </w:pPr>
      <w:r>
        <w:rPr>
          <w:rFonts w:ascii="Arial" w:cs="Arial" w:eastAsia="Arial" w:hAnsi="Arial"/>
          <w:b/>
          <w:bCs/>
          <w:sz w:val="24"/>
          <w:szCs w:val="24"/>
        </w:rPr>
        <w:t xml:space="preserve">2. Основные понятия, применяемые в настоящем положении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потерь в результате снижения стоимости актива МФО вследствие неисполнения или ненадлежащего исполнения клиентом своих обязательств в соответствии с условиями договора.</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m96vtz4r1az5xx8g7q_t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Групповое финансирование</w:t>
      </w:r>
      <w:r>
        <w:rPr>
          <w:rFonts w:ascii="Arial" w:cs="Arial" w:eastAsia="Arial" w:hAnsi="Arial"/>
          <w:sz w:val="24"/>
          <w:szCs w:val="24"/>
        </w:rPr>
        <w:t xml:space="preserve"> - предоставление финансирования под солидарную ответственность членов группы солидарной ответственности (ГСО), занимающихся деятельностью, направленной на получение дохода (в том числе предпринимательской деятельностью). При этом члены ГСО совместно поручаются за выполнение обязательств каждого члена группы и несут солидарную ответственность перед МФО в соответствии с законодательством Кыргызской Республики. Классификация группового финансирования осуществляется в соответствии с </w:t>
      </w:r>
      <w:r>
        <w:rPr>
          <w:rFonts w:ascii="Arial" w:cs="Arial" w:eastAsia="Arial" w:hAnsi="Arial"/>
          <w:sz w:val="24"/>
          <w:szCs w:val="24"/>
        </w:rPr>
        <w:t xml:space="preserve">П</w:t>
      </w:r>
      <w:hyperlink w:history="1" r:id="rIdihvqdli61akwy3alabdag">
        <w:r>
          <w:rPr>
            <w:rFonts w:ascii="Arial" w:cs="Arial" w:eastAsia="Arial" w:hAnsi="Arial"/>
            <w:color w:val="1D4ED8"/>
            <w:sz w:val="24"/>
            <w:szCs w:val="24"/>
            <w:u w:val="single"/>
          </w:rPr>
          <w:t xml:space="preserve">орядком</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утвержденным </w:t>
      </w:r>
      <w:hyperlink w:history="1" r:id="rIdhdaklscywgjknnjmpjk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 марта 2006 года № 5/6.</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e0myvqvnw_ioyb0are_7">
        <w:r>
          <w:rPr>
            <w:rFonts w:ascii="Arial" w:cs="Arial" w:eastAsia="Arial" w:hAnsi="Arial"/>
            <w:i/>
            <w:iCs/>
            <w:color w:val="1D4ED8"/>
            <w:sz w:val="24"/>
            <w:szCs w:val="24"/>
            <w:u w:val="single"/>
          </w:rPr>
          <w:t xml:space="preserve">15 апреля 2015 года № 22/7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Индивидуальное финансирование</w:t>
      </w:r>
      <w:r>
        <w:rPr>
          <w:rFonts w:ascii="Arial" w:cs="Arial" w:eastAsia="Arial" w:hAnsi="Arial"/>
          <w:sz w:val="24"/>
          <w:szCs w:val="24"/>
        </w:rPr>
        <w:t xml:space="preserve"> - предоставление финансирования под индивидуальную ответственность клиента (физического или юридического лица).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Инвестиции МФО в ценные бумаги и/или в капитал</w:t>
      </w:r>
      <w:r>
        <w:rPr>
          <w:rFonts w:ascii="Arial" w:cs="Arial" w:eastAsia="Arial" w:hAnsi="Arial"/>
          <w:sz w:val="24"/>
          <w:szCs w:val="24"/>
        </w:rPr>
        <w:t xml:space="preserve"> - вложения МФО в ценные бумаги, выпускаемые по исламским принципам банковского дела и финансирования и/или приобретение акций или финансовое вложение в капитал компаний, цель и деятельность которых соответствуют стандартам Шариата.</w:t>
      </w:r>
    </w:p>
    <w:p>
      <w:pPr>
        <w:spacing w:after="60"/>
        <w:ind w:firstLine="567"/>
        <w:jc w:val="both"/>
      </w:pPr>
      <w:r>
        <w:rPr>
          <w:rFonts w:ascii="Arial" w:cs="Arial" w:eastAsia="Arial" w:hAnsi="Arial"/>
          <w:sz w:val="24"/>
          <w:szCs w:val="24"/>
        </w:rPr>
        <w:t xml:space="preserve">Вложения средств МФО в оборотные средства других компаний и участие в совместных проектах считаются активами, несущими в себе кредитный риск.</w:t>
      </w:r>
    </w:p>
    <w:p>
      <w:pPr>
        <w:spacing w:after="200" w:before="200"/>
        <w:jc w:val="center"/>
      </w:pPr>
      <w:r>
        <w:rPr>
          <w:rFonts w:ascii="Arial" w:cs="Arial" w:eastAsia="Arial" w:hAnsi="Arial"/>
          <w:b/>
          <w:bCs/>
          <w:sz w:val="24"/>
          <w:szCs w:val="24"/>
        </w:rPr>
        <w:t xml:space="preserve">3. Общие требования по классификации активов</w:t>
      </w:r>
    </w:p>
    <w:p>
      <w:pPr>
        <w:spacing w:after="60"/>
        <w:ind w:firstLine="567"/>
        <w:jc w:val="both"/>
      </w:pPr>
      <w:r>
        <w:rPr>
          <w:rFonts w:ascii="Arial" w:cs="Arial" w:eastAsia="Arial" w:hAnsi="Arial"/>
          <w:sz w:val="24"/>
          <w:szCs w:val="24"/>
        </w:rPr>
        <w:t xml:space="preserve">11. Классификация активов осуществляется на основе анализа финансового состояния клиента МФО, качества залога, типа клиента по форме собственности, отраслевой принадлежности, наличия и видов гарантий по активам и надежностью самих гарантов, оценки выполнения ранее данных обязательств по активам банков, перспектив дальнейшего развития бизнеса клиента и других факторов.</w:t>
      </w:r>
    </w:p>
    <w:p>
      <w:pPr>
        <w:spacing w:after="60"/>
        <w:ind w:firstLine="567"/>
        <w:jc w:val="both"/>
      </w:pPr>
      <w:r>
        <w:rPr>
          <w:rFonts w:ascii="Arial" w:cs="Arial" w:eastAsia="Arial" w:hAnsi="Arial"/>
          <w:sz w:val="24"/>
          <w:szCs w:val="24"/>
        </w:rPr>
        <w:t xml:space="preserve">12. При проведении классификации активов необходимо руководствоваться здравым смыслом и суждением для отнесения актива к той или иной категории классификации, не ограничиваясь положениями, которые предусмотрены настоящим Положением.</w:t>
      </w:r>
    </w:p>
    <w:p>
      <w:pPr>
        <w:spacing w:after="60"/>
        <w:ind w:firstLine="567"/>
        <w:jc w:val="both"/>
      </w:pPr>
      <w:r>
        <w:rPr>
          <w:rFonts w:ascii="Arial" w:cs="Arial" w:eastAsia="Arial" w:hAnsi="Arial"/>
          <w:sz w:val="24"/>
          <w:szCs w:val="24"/>
        </w:rPr>
        <w:t xml:space="preserve">13. МФО классифицируют активы и формируют РППУ в целях своевременного покрытия потенциальных потерь и убытков по активам, подверженным кредитному риску.</w:t>
      </w:r>
    </w:p>
    <w:p>
      <w:pPr>
        <w:spacing w:after="60"/>
        <w:ind w:firstLine="567"/>
        <w:jc w:val="both"/>
      </w:pPr>
      <w:r>
        <w:rPr>
          <w:rFonts w:ascii="Arial" w:cs="Arial" w:eastAsia="Arial" w:hAnsi="Arial"/>
          <w:sz w:val="24"/>
          <w:szCs w:val="24"/>
        </w:rPr>
        <w:t xml:space="preserve">14. Активы МФО, несущие в себе кредитный риск, включают:</w:t>
      </w:r>
    </w:p>
    <w:p>
      <w:pPr>
        <w:spacing w:after="60"/>
        <w:ind w:firstLine="567"/>
        <w:jc w:val="both"/>
      </w:pPr>
      <w:r>
        <w:rPr>
          <w:rFonts w:ascii="Arial" w:cs="Arial" w:eastAsia="Arial" w:hAnsi="Arial"/>
          <w:sz w:val="24"/>
          <w:szCs w:val="24"/>
        </w:rPr>
        <w:t xml:space="preserve">- финансирование по исламским принципам;</w:t>
      </w:r>
    </w:p>
    <w:p>
      <w:pPr>
        <w:spacing w:after="60"/>
        <w:ind w:firstLine="567"/>
        <w:jc w:val="both"/>
      </w:pPr>
      <w:r>
        <w:rPr>
          <w:rFonts w:ascii="Arial" w:cs="Arial" w:eastAsia="Arial" w:hAnsi="Arial"/>
          <w:sz w:val="24"/>
          <w:szCs w:val="24"/>
        </w:rPr>
        <w:t xml:space="preserve">- финансовый лизинг в соответствии с исламскими принципами банковского дела и финансирования;</w:t>
      </w:r>
    </w:p>
    <w:p>
      <w:pPr>
        <w:spacing w:after="60"/>
        <w:ind w:firstLine="567"/>
        <w:jc w:val="both"/>
      </w:pPr>
      <w:r>
        <w:rPr>
          <w:rFonts w:ascii="Arial" w:cs="Arial" w:eastAsia="Arial" w:hAnsi="Arial"/>
          <w:sz w:val="24"/>
          <w:szCs w:val="24"/>
        </w:rPr>
        <w:t xml:space="preserve">- факторинг;</w:t>
      </w:r>
    </w:p>
    <w:p>
      <w:pPr>
        <w:spacing w:after="60"/>
        <w:ind w:firstLine="567"/>
        <w:jc w:val="both"/>
      </w:pPr>
      <w:r>
        <w:rPr>
          <w:rFonts w:ascii="Arial" w:cs="Arial" w:eastAsia="Arial" w:hAnsi="Arial"/>
          <w:sz w:val="24"/>
          <w:szCs w:val="24"/>
        </w:rPr>
        <w:t xml:space="preserve">- инвестиции в ценные бумаги, выпускаемые в соответствии с исламскими принципами банковского дела и финансирования и/или в капитал компании (в форме акций, финансового участия в капитале инвестируемой компании);</w:t>
      </w:r>
    </w:p>
    <w:p>
      <w:pPr>
        <w:spacing w:after="60"/>
        <w:ind w:firstLine="567"/>
        <w:jc w:val="both"/>
      </w:pPr>
      <w:r>
        <w:rPr>
          <w:rFonts w:ascii="Arial" w:cs="Arial" w:eastAsia="Arial" w:hAnsi="Arial"/>
          <w:sz w:val="24"/>
          <w:szCs w:val="24"/>
        </w:rPr>
        <w:t xml:space="preserve">- другие активы, подверженные кредитному риску.</w:t>
      </w:r>
    </w:p>
    <w:p>
      <w:pPr>
        <w:spacing w:after="60"/>
        <w:ind w:firstLine="567"/>
        <w:jc w:val="both"/>
      </w:pPr>
      <w:r>
        <w:rPr>
          <w:rFonts w:ascii="Arial" w:cs="Arial" w:eastAsia="Arial" w:hAnsi="Arial"/>
          <w:sz w:val="24"/>
          <w:szCs w:val="24"/>
        </w:rPr>
        <w:t xml:space="preserve">15. МФО проводит классификацию и формирует соответствующий РППУ в отношении прочей собственности, т.е. собственности (имущества), принятой в погашение представленного МФО финансирования.</w:t>
      </w:r>
    </w:p>
    <w:p>
      <w:pPr>
        <w:spacing w:after="60"/>
        <w:ind w:firstLine="567"/>
        <w:jc w:val="both"/>
      </w:pPr>
      <w:r>
        <w:rPr>
          <w:rFonts w:ascii="Arial" w:cs="Arial" w:eastAsia="Arial" w:hAnsi="Arial"/>
          <w:sz w:val="24"/>
          <w:szCs w:val="24"/>
        </w:rPr>
        <w:t xml:space="preserve">16. Во избежание возможных различных толкований определений категорий классификации вводятся количественные и качественные характеристики активов. Совокупность двух и более признаков определяет категорию классификации.</w:t>
      </w:r>
    </w:p>
    <w:p>
      <w:pPr>
        <w:spacing w:after="60"/>
        <w:ind w:firstLine="567"/>
        <w:jc w:val="both"/>
      </w:pPr>
      <w:r>
        <w:rPr>
          <w:rFonts w:ascii="Arial" w:cs="Arial" w:eastAsia="Arial" w:hAnsi="Arial"/>
          <w:sz w:val="24"/>
          <w:szCs w:val="24"/>
        </w:rPr>
        <w:t xml:space="preserve">17. Классификация активов производится на основе предварительного анализа с учетом:</w:t>
      </w:r>
    </w:p>
    <w:p>
      <w:pPr>
        <w:spacing w:after="60"/>
        <w:ind w:firstLine="567"/>
        <w:jc w:val="both"/>
      </w:pPr>
      <w:r>
        <w:rPr>
          <w:rFonts w:ascii="Arial" w:cs="Arial" w:eastAsia="Arial" w:hAnsi="Arial"/>
          <w:sz w:val="24"/>
          <w:szCs w:val="24"/>
        </w:rPr>
        <w:t xml:space="preserve">1) количественных характеристик состояния актива, включая:</w:t>
      </w:r>
    </w:p>
    <w:p>
      <w:pPr>
        <w:spacing w:after="60"/>
        <w:ind w:firstLine="567"/>
        <w:jc w:val="both"/>
      </w:pPr>
      <w:r>
        <w:rPr>
          <w:rFonts w:ascii="Arial" w:cs="Arial" w:eastAsia="Arial" w:hAnsi="Arial"/>
          <w:sz w:val="24"/>
          <w:szCs w:val="24"/>
        </w:rPr>
        <w:t xml:space="preserve">- наличие просрочки плановых платежей по основной сумме и/или наценке/доходу;</w:t>
      </w:r>
    </w:p>
    <w:p>
      <w:pPr>
        <w:spacing w:after="60"/>
        <w:ind w:firstLine="567"/>
        <w:jc w:val="both"/>
      </w:pPr>
      <w:r>
        <w:rPr>
          <w:rFonts w:ascii="Arial" w:cs="Arial" w:eastAsia="Arial" w:hAnsi="Arial"/>
          <w:sz w:val="24"/>
          <w:szCs w:val="24"/>
        </w:rPr>
        <w:t xml:space="preserve">- случаи неполного (частичного) погашения плановых платежей по основной сумме и/или наценке/доходу;</w:t>
      </w:r>
    </w:p>
    <w:p>
      <w:pPr>
        <w:spacing w:after="60"/>
        <w:ind w:firstLine="567"/>
        <w:jc w:val="both"/>
      </w:pPr>
      <w:r>
        <w:rPr>
          <w:rFonts w:ascii="Arial" w:cs="Arial" w:eastAsia="Arial" w:hAnsi="Arial"/>
          <w:sz w:val="24"/>
          <w:szCs w:val="24"/>
        </w:rPr>
        <w:t xml:space="preserve">2) качественных характеристик состояния актива, в том числе:</w:t>
      </w:r>
    </w:p>
    <w:p>
      <w:pPr>
        <w:spacing w:after="60"/>
        <w:ind w:firstLine="567"/>
        <w:jc w:val="both"/>
      </w:pPr>
      <w:r>
        <w:rPr>
          <w:rFonts w:ascii="Arial" w:cs="Arial" w:eastAsia="Arial" w:hAnsi="Arial"/>
          <w:sz w:val="24"/>
          <w:szCs w:val="24"/>
        </w:rPr>
        <w:t xml:space="preserve">- платежеспособность клиента, т.е. способность клиента своевременно погашать плановые платежи, как по наценке/доходу, так и по основной сумме;</w:t>
      </w:r>
    </w:p>
    <w:p>
      <w:pPr>
        <w:spacing w:after="60"/>
        <w:ind w:firstLine="567"/>
        <w:jc w:val="both"/>
      </w:pPr>
      <w:r>
        <w:rPr>
          <w:rFonts w:ascii="Arial" w:cs="Arial" w:eastAsia="Arial" w:hAnsi="Arial"/>
          <w:sz w:val="24"/>
          <w:szCs w:val="24"/>
        </w:rPr>
        <w:t xml:space="preserve">- состояние и стоимость залога;</w:t>
      </w:r>
    </w:p>
    <w:p>
      <w:pPr>
        <w:spacing w:after="60"/>
        <w:ind w:firstLine="567"/>
        <w:jc w:val="both"/>
      </w:pPr>
      <w:r>
        <w:rPr>
          <w:rFonts w:ascii="Arial" w:cs="Arial" w:eastAsia="Arial" w:hAnsi="Arial"/>
          <w:sz w:val="24"/>
          <w:szCs w:val="24"/>
        </w:rPr>
        <w:t xml:space="preserve">- наличие иных источников дохода (доходы членов семьи, доход от других видов деятельности и т.д.);</w:t>
      </w:r>
    </w:p>
    <w:p>
      <w:pPr>
        <w:spacing w:after="60"/>
        <w:ind w:firstLine="567"/>
        <w:jc w:val="both"/>
      </w:pPr>
      <w:r>
        <w:rPr>
          <w:rFonts w:ascii="Arial" w:cs="Arial" w:eastAsia="Arial" w:hAnsi="Arial"/>
          <w:sz w:val="24"/>
          <w:szCs w:val="24"/>
        </w:rPr>
        <w:t xml:space="preserve">- соблюдение клиентом условий договора по любому другому активу, в случае, если у клиента имеется непогашенная задолженность по другим обязательствам перед другими финансово-кредитными организациями. В связи с этим необходимо отслеживать наличие у клиента других активов, несущих в себе кредитный риск и в других финансово-кредитных организациях на момент рассмотрения заявки, используя информацию, получаемую от клиента, через кредитно-информационное бюро, или иным доступным способом в рамках законодательства Кыргызской Республики. В дальнейшем, в процессе мониторинга актива, по которому не истек срок договора финансирования, необходимо учитывать информацию, получаемую от клиента, о наличии у него иных активов, несущих в себе кредитный риск и полученных в других финансово-кредитных организациях, а также информацию о соблюдении им условий договора по данным активам. Договором финансирования должна быть предусмотрена обязанность предоставления клиентом не реже, чем один раз в полгода, указанной информации на время действия договора. При этом все финансово-кредитные организации обязаны предоставлять в течение 3-х рабочих дней по запросу клиента информацию о получении актива, несущего в себе кредитный риск, и о соблюдении клиентом условий договора для ее предоставления в другую финансово-кредитную организацию.</w:t>
      </w:r>
    </w:p>
    <w:p>
      <w:pPr>
        <w:spacing w:after="60"/>
        <w:ind w:firstLine="567"/>
        <w:jc w:val="both"/>
      </w:pPr>
      <w:r>
        <w:rPr>
          <w:rFonts w:ascii="Arial" w:cs="Arial" w:eastAsia="Arial" w:hAnsi="Arial"/>
          <w:sz w:val="24"/>
          <w:szCs w:val="24"/>
        </w:rPr>
        <w:t xml:space="preserve">18. Если классифицируемый актив занимает промежуточное положение между двумя категориями классификации активов, то такой актив следует относить к наихудшей из категорий классификации.</w:t>
      </w:r>
    </w:p>
    <w:p>
      <w:pPr>
        <w:spacing w:after="60"/>
        <w:ind w:firstLine="567"/>
        <w:jc w:val="both"/>
      </w:pPr>
      <w:r>
        <w:rPr>
          <w:rFonts w:ascii="Arial" w:cs="Arial" w:eastAsia="Arial" w:hAnsi="Arial"/>
          <w:sz w:val="24"/>
          <w:szCs w:val="24"/>
        </w:rPr>
        <w:t xml:space="preserve">19. При проведении классификации нескольких активов, предоставленных одному и тому же клиенту, МФО должен учитывать классификацию данных активов и классифицировать данные активы по наихудшей из категорий классификации по данным активам.</w:t>
      </w:r>
    </w:p>
    <w:p>
      <w:pPr>
        <w:spacing w:after="60"/>
        <w:ind w:firstLine="567"/>
        <w:jc w:val="both"/>
      </w:pPr>
      <w:r>
        <w:rPr>
          <w:rFonts w:ascii="Arial" w:cs="Arial" w:eastAsia="Arial" w:hAnsi="Arial"/>
          <w:sz w:val="24"/>
          <w:szCs w:val="24"/>
        </w:rPr>
        <w:t xml:space="preserve">20. Договорные отношения между МФО и его клиентами, отраженные в соответствующих договорах, должны осуществляться на основании законодательства Кыргызской Республики и не нарушать требования стандартов Шариата.</w:t>
      </w:r>
    </w:p>
    <w:p>
      <w:pPr>
        <w:spacing w:after="200" w:before="200"/>
        <w:jc w:val="center"/>
      </w:pPr>
      <w:r>
        <w:rPr>
          <w:rFonts w:ascii="Arial" w:cs="Arial" w:eastAsia="Arial" w:hAnsi="Arial"/>
          <w:b/>
          <w:bCs/>
          <w:sz w:val="24"/>
          <w:szCs w:val="24"/>
        </w:rPr>
        <w:t xml:space="preserve">4. Классификация активов</w:t>
      </w:r>
    </w:p>
    <w:p>
      <w:pPr>
        <w:spacing w:after="60"/>
        <w:ind w:firstLine="567"/>
        <w:jc w:val="both"/>
      </w:pPr>
      <w:r>
        <w:rPr>
          <w:rFonts w:ascii="Arial" w:cs="Arial" w:eastAsia="Arial" w:hAnsi="Arial"/>
          <w:sz w:val="24"/>
          <w:szCs w:val="24"/>
        </w:rPr>
        <w:t xml:space="preserve">21. В целях классификации активов и создания РППУ устанавливаются следующие категории активов:</w:t>
      </w:r>
    </w:p>
    <w:p>
      <w:pPr>
        <w:spacing w:after="60"/>
        <w:ind w:firstLine="567"/>
        <w:jc w:val="both"/>
      </w:pPr>
      <w:r>
        <w:rPr>
          <w:rFonts w:ascii="Arial" w:cs="Arial" w:eastAsia="Arial" w:hAnsi="Arial"/>
          <w:sz w:val="24"/>
          <w:szCs w:val="24"/>
        </w:rPr>
        <w:t xml:space="preserve">1) нормальные активы;</w:t>
      </w:r>
    </w:p>
    <w:p>
      <w:pPr>
        <w:spacing w:after="60"/>
        <w:ind w:firstLine="567"/>
        <w:jc w:val="both"/>
      </w:pPr>
      <w:r>
        <w:rPr>
          <w:rFonts w:ascii="Arial" w:cs="Arial" w:eastAsia="Arial" w:hAnsi="Arial"/>
          <w:sz w:val="24"/>
          <w:szCs w:val="24"/>
        </w:rPr>
        <w:t xml:space="preserve">2) активы под наблюдением;</w:t>
      </w:r>
    </w:p>
    <w:p>
      <w:pPr>
        <w:spacing w:after="60"/>
        <w:ind w:firstLine="567"/>
        <w:jc w:val="both"/>
      </w:pPr>
      <w:r>
        <w:rPr>
          <w:rFonts w:ascii="Arial" w:cs="Arial" w:eastAsia="Arial" w:hAnsi="Arial"/>
          <w:sz w:val="24"/>
          <w:szCs w:val="24"/>
        </w:rPr>
        <w:t xml:space="preserve">3) субстандартные активы;</w:t>
      </w:r>
    </w:p>
    <w:p>
      <w:pPr>
        <w:spacing w:after="60"/>
        <w:ind w:firstLine="567"/>
        <w:jc w:val="both"/>
      </w:pPr>
      <w:r>
        <w:rPr>
          <w:rFonts w:ascii="Arial" w:cs="Arial" w:eastAsia="Arial" w:hAnsi="Arial"/>
          <w:sz w:val="24"/>
          <w:szCs w:val="24"/>
        </w:rPr>
        <w:t xml:space="preserve">4) сомнительные активы;</w:t>
      </w:r>
    </w:p>
    <w:p>
      <w:pPr>
        <w:spacing w:after="60"/>
        <w:ind w:firstLine="567"/>
        <w:jc w:val="both"/>
      </w:pPr>
      <w:r>
        <w:rPr>
          <w:rFonts w:ascii="Arial" w:cs="Arial" w:eastAsia="Arial" w:hAnsi="Arial"/>
          <w:sz w:val="24"/>
          <w:szCs w:val="24"/>
        </w:rPr>
        <w:t xml:space="preserve">5) потери.</w:t>
      </w:r>
    </w:p>
    <w:p>
      <w:pPr>
        <w:spacing w:after="60"/>
        <w:ind w:firstLine="567"/>
        <w:jc w:val="both"/>
      </w:pPr>
      <w:r>
        <w:rPr>
          <w:rFonts w:ascii="Arial" w:cs="Arial" w:eastAsia="Arial" w:hAnsi="Arial"/>
          <w:sz w:val="24"/>
          <w:szCs w:val="24"/>
        </w:rPr>
        <w:t xml:space="preserve">22. Активы считаются нормальными, если плановые платежи по наценке/доходу и/или основной сумме не просрочены или просрочены на срок не более 30 дней, и при этом существует наличие следующих признаков в совокупности:</w:t>
      </w:r>
    </w:p>
    <w:p>
      <w:pPr>
        <w:spacing w:after="60"/>
        <w:ind w:firstLine="567"/>
        <w:jc w:val="both"/>
      </w:pPr>
      <w:r>
        <w:rPr>
          <w:rFonts w:ascii="Arial" w:cs="Arial" w:eastAsia="Arial" w:hAnsi="Arial"/>
          <w:sz w:val="24"/>
          <w:szCs w:val="24"/>
        </w:rPr>
        <w:t xml:space="preserve">- удовлетворительное финансовое состояние клиента, стабильные источники дохода;</w:t>
      </w:r>
    </w:p>
    <w:p>
      <w:pPr>
        <w:spacing w:after="60"/>
        <w:ind w:firstLine="567"/>
        <w:jc w:val="both"/>
      </w:pPr>
      <w:r>
        <w:rPr>
          <w:rFonts w:ascii="Arial" w:cs="Arial" w:eastAsia="Arial" w:hAnsi="Arial"/>
          <w:sz w:val="24"/>
          <w:szCs w:val="24"/>
        </w:rPr>
        <w:t xml:space="preserve">- положительная кредитная история клиента;</w:t>
      </w:r>
    </w:p>
    <w:p>
      <w:pPr>
        <w:spacing w:after="60"/>
        <w:ind w:firstLine="567"/>
        <w:jc w:val="both"/>
      </w:pPr>
      <w:r>
        <w:rPr>
          <w:rFonts w:ascii="Arial" w:cs="Arial" w:eastAsia="Arial" w:hAnsi="Arial"/>
          <w:sz w:val="24"/>
          <w:szCs w:val="24"/>
        </w:rPr>
        <w:t xml:space="preserve">- предприятие клиента является стабильным, хорошо капитализированным;</w:t>
      </w:r>
    </w:p>
    <w:p>
      <w:pPr>
        <w:spacing w:after="60"/>
        <w:ind w:firstLine="567"/>
        <w:jc w:val="both"/>
      </w:pPr>
      <w:r>
        <w:rPr>
          <w:rFonts w:ascii="Arial" w:cs="Arial" w:eastAsia="Arial" w:hAnsi="Arial"/>
          <w:sz w:val="24"/>
          <w:szCs w:val="24"/>
        </w:rPr>
        <w:t xml:space="preserve">- своевременно выполняются условия договора с МФО;</w:t>
      </w:r>
    </w:p>
    <w:p>
      <w:pPr>
        <w:spacing w:after="60"/>
        <w:ind w:firstLine="567"/>
        <w:jc w:val="both"/>
      </w:pPr>
      <w:r>
        <w:rPr>
          <w:rFonts w:ascii="Arial" w:cs="Arial" w:eastAsia="Arial" w:hAnsi="Arial"/>
          <w:sz w:val="24"/>
          <w:szCs w:val="24"/>
        </w:rPr>
        <w:t xml:space="preserve">- наличие обеспечения исполнения договора о финансировании ликвидным залогом на всю сумму определенную договором;</w:t>
      </w:r>
    </w:p>
    <w:p>
      <w:pPr>
        <w:spacing w:after="60"/>
        <w:ind w:firstLine="567"/>
        <w:jc w:val="both"/>
      </w:pPr>
      <w:r>
        <w:rPr>
          <w:rFonts w:ascii="Arial" w:cs="Arial" w:eastAsia="Arial" w:hAnsi="Arial"/>
          <w:sz w:val="24"/>
          <w:szCs w:val="24"/>
        </w:rPr>
        <w:t xml:space="preserve">- при индивидуальном финансировании задолженность по основной сумме финансирования и по наценке полностью обеспечена залогом, который пользуется спросом и может быть реализован в приемлемые сроки и по приемлемой цене, либо имеется гарантия надежного гаранта.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y_72u02wmtchmpwjlnhe">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Активами под наблюдением считаются активы, по которым имеются определенные негативные тенденции, из которых следует, что если по подобным активам не будут приняты соответствующие меры, то возможно дальнейшее ухудшение их качества.</w:t>
      </w:r>
    </w:p>
    <w:p>
      <w:pPr>
        <w:spacing w:after="60"/>
        <w:ind w:firstLine="567"/>
        <w:jc w:val="both"/>
      </w:pPr>
      <w:r>
        <w:rPr>
          <w:rFonts w:ascii="Arial" w:cs="Arial" w:eastAsia="Arial" w:hAnsi="Arial"/>
          <w:sz w:val="24"/>
          <w:szCs w:val="24"/>
        </w:rPr>
        <w:t xml:space="preserve">МФО должен классифицировать актив в качестве актива под наблюдением при наличии одного из следующих признаков:</w:t>
      </w:r>
    </w:p>
    <w:p>
      <w:pPr>
        <w:spacing w:after="60"/>
        <w:ind w:firstLine="567"/>
        <w:jc w:val="both"/>
      </w:pPr>
      <w:r>
        <w:rPr>
          <w:rFonts w:ascii="Arial" w:cs="Arial" w:eastAsia="Arial" w:hAnsi="Arial"/>
          <w:sz w:val="24"/>
          <w:szCs w:val="24"/>
        </w:rPr>
        <w:t xml:space="preserve">- появление тенденций ухудшения финансового состояния клиента;</w:t>
      </w:r>
    </w:p>
    <w:p>
      <w:pPr>
        <w:spacing w:after="60"/>
        <w:ind w:firstLine="567"/>
        <w:jc w:val="both"/>
      </w:pPr>
      <w:r>
        <w:rPr>
          <w:rFonts w:ascii="Arial" w:cs="Arial" w:eastAsia="Arial" w:hAnsi="Arial"/>
          <w:sz w:val="24"/>
          <w:szCs w:val="24"/>
        </w:rPr>
        <w:t xml:space="preserve">- изменение рыночных условий, которые могут повлиять на выполнение клиентом условий договора, заключенного с МФО;</w:t>
      </w:r>
    </w:p>
    <w:p>
      <w:pPr>
        <w:spacing w:after="60"/>
        <w:ind w:firstLine="567"/>
        <w:jc w:val="both"/>
      </w:pPr>
      <w:r>
        <w:rPr>
          <w:rFonts w:ascii="Arial" w:cs="Arial" w:eastAsia="Arial" w:hAnsi="Arial"/>
          <w:sz w:val="24"/>
          <w:szCs w:val="24"/>
        </w:rPr>
        <w:t xml:space="preserve">- нарушение клиентом графика выполнения условий договора на срок до 30 дней;</w:t>
      </w:r>
    </w:p>
    <w:p>
      <w:pPr>
        <w:spacing w:after="60"/>
        <w:ind w:firstLine="567"/>
        <w:jc w:val="both"/>
      </w:pPr>
      <w:r>
        <w:rPr>
          <w:rFonts w:ascii="Arial" w:cs="Arial" w:eastAsia="Arial" w:hAnsi="Arial"/>
          <w:sz w:val="24"/>
          <w:szCs w:val="24"/>
        </w:rPr>
        <w:t xml:space="preserve">- нарушение графика плановых платежей на срок до 30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до 30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до 30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до 30 дней;</w:t>
      </w:r>
    </w:p>
    <w:p>
      <w:pPr>
        <w:spacing w:after="60"/>
        <w:ind w:firstLine="567"/>
        <w:jc w:val="both"/>
      </w:pPr>
      <w:r>
        <w:rPr>
          <w:rFonts w:ascii="Arial" w:cs="Arial" w:eastAsia="Arial" w:hAnsi="Arial"/>
          <w:sz w:val="24"/>
          <w:szCs w:val="24"/>
        </w:rPr>
        <w:t xml:space="preserve">- невозможность для МФО проводить мониторинг залога из-за недостаточной документации, либо из-за отсутствия экспертов по его оценке;</w:t>
      </w:r>
    </w:p>
    <w:p>
      <w:pPr>
        <w:spacing w:after="60"/>
        <w:ind w:firstLine="567"/>
        <w:jc w:val="both"/>
      </w:pPr>
      <w:r>
        <w:rPr>
          <w:rFonts w:ascii="Arial" w:cs="Arial" w:eastAsia="Arial" w:hAnsi="Arial"/>
          <w:sz w:val="24"/>
          <w:szCs w:val="24"/>
        </w:rPr>
        <w:t xml:space="preserve">- намечающееся уменьшение ликвидности залога (снижение цен, падение курса валют);</w:t>
      </w:r>
    </w:p>
    <w:p>
      <w:pPr>
        <w:spacing w:after="60"/>
        <w:ind w:firstLine="567"/>
        <w:jc w:val="both"/>
      </w:pPr>
      <w:r>
        <w:rPr>
          <w:rFonts w:ascii="Arial" w:cs="Arial" w:eastAsia="Arial" w:hAnsi="Arial"/>
          <w:sz w:val="24"/>
          <w:szCs w:val="24"/>
        </w:rPr>
        <w:t xml:space="preserve">- наличие у клиента - физического лица, в том числе индивидуального предпринимателя, непогашенной задолженности в других финансово-кредитных организациях по любому другому активу, за исключением активов, профинансированных по целевым государственным программам Правительства Кыргызской Республики. 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sz w:val="24"/>
          <w:szCs w:val="24"/>
        </w:rPr>
        <w:t xml:space="preserve">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sz w:val="24"/>
          <w:szCs w:val="24"/>
        </w:rPr>
        <w:t xml:space="preserve">- погашение задолженности клиента - физического лица, в том числе индивидуального предпринимателя, и задолженности его супруга(и), родителей и детей по активам, за исключением активов, выданных им по целевым государственным программам Правительства Кыргызской Республики, перед данным МФО и/или другими финансово-кредитными организациями за счет единого источника дохода. При этом под одним и тем же источником погашения активов, понимается совокупный доход вышеуказанных лиц, учтенный финансово-кредитной организацией при принятии решения о выдаче актива,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Субстандартными активами считаются активы, по которым наблюдаются определенные негативные тенденции, достаточно ясно показывающие, что МФО необходимо доформировать РППУ и/или принять соответствующие меры, направленные на улучшение качества актива.</w:t>
      </w:r>
    </w:p>
    <w:p>
      <w:pPr>
        <w:spacing w:after="60"/>
        <w:ind w:firstLine="567"/>
        <w:jc w:val="both"/>
      </w:pPr>
      <w:r>
        <w:rPr>
          <w:rFonts w:ascii="Arial" w:cs="Arial" w:eastAsia="Arial" w:hAnsi="Arial"/>
          <w:sz w:val="24"/>
          <w:szCs w:val="24"/>
        </w:rPr>
        <w:t xml:space="preserve">МФО должен классифицировать актив в качестве субстандартного актива при наличии одного из следующих признаков:</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31 до 90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31 до 90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31 до 90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31 до 90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31 до 90 дней;</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если актив обеспечен залогом не в полной мере или наблюдается ухудшение качества залога, либо залог обесценивается;</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 невыполнение клиентом - физическим лицом или индивидуальным предпринимателем, условий договора более 30 дней по любому другому активу, несущему в себе кредитный риск, за исключением активов, профинансированных по целевым государственным программам Правительства Кыргызской Республики, в данном МФО и/или другой финансово-кредитной организации.</w:t>
      </w:r>
    </w:p>
    <w:p>
      <w:pPr>
        <w:spacing w:after="60"/>
        <w:ind w:firstLine="567"/>
        <w:jc w:val="both"/>
      </w:pPr>
      <w:r>
        <w:rPr>
          <w:rFonts w:ascii="Arial" w:cs="Arial" w:eastAsia="Arial" w:hAnsi="Arial"/>
          <w:sz w:val="24"/>
          <w:szCs w:val="24"/>
        </w:rPr>
        <w:t xml:space="preserve">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sz w:val="24"/>
          <w:szCs w:val="24"/>
        </w:rPr>
        <w:t xml:space="preserve">- наличие просроченной задолженности более 30 дней по активам, супруга(и), родителей и детей клиента - физического лица или индивидуального предпринимателя, перед данным МФО и/или другими финансово-кредитными организациями, за исключением активов, профинансированных по целевым государственным программам Правительства Кыргызской Республики, при условии, что источник погашения всех вышеуказанных активов один и тот же. При этом под одним и тем же источником погашения активов, понимается совокупный доход вышеуказанных лиц, учтенный финансово-кредитной организацией при принятии решения о выдаче актива, включая доход от предпринимательской деятельности.</w:t>
      </w:r>
    </w:p>
    <w:p>
      <w:pPr>
        <w:spacing w:after="60"/>
        <w:ind w:firstLine="567"/>
        <w:jc w:val="both"/>
      </w:pPr>
      <w:r>
        <w:rPr>
          <w:rFonts w:ascii="Arial" w:cs="Arial" w:eastAsia="Arial" w:hAnsi="Arial"/>
          <w:sz w:val="24"/>
          <w:szCs w:val="24"/>
        </w:rPr>
        <w:t xml:space="preserve">Примечание: признак, указанный в настоящем абзаце не распространяется на овердрафты в рамках зарплатных проектов.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jksztmnil5900e_h7ssc">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Сомнительным активам характерны четко определенные недостатки (недостаток) или слабые стороны, которые несут в себе риск неисполнения клиентом обязательств, предусмотренных договором, в связи, с чем возможность погашения задолженности становится сомнительной и маловероятной. В случае если недостатки не будут устранены, то существует вероятность того, что МФО понесет значительные потери.</w:t>
      </w:r>
    </w:p>
    <w:p>
      <w:pPr>
        <w:spacing w:after="60"/>
        <w:ind w:firstLine="567"/>
        <w:jc w:val="both"/>
      </w:pPr>
      <w:r>
        <w:rPr>
          <w:rFonts w:ascii="Arial" w:cs="Arial" w:eastAsia="Arial" w:hAnsi="Arial"/>
          <w:sz w:val="24"/>
          <w:szCs w:val="24"/>
        </w:rPr>
        <w:t xml:space="preserve">МФО должна классифицировать актив в качестве сомнительного актива при наличии одного из следующих признаков:</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от 91 до 180 дней;</w:t>
      </w:r>
    </w:p>
    <w:p>
      <w:pPr>
        <w:spacing w:after="60"/>
        <w:ind w:firstLine="567"/>
        <w:jc w:val="both"/>
      </w:pPr>
      <w:r>
        <w:rPr>
          <w:rFonts w:ascii="Arial" w:cs="Arial" w:eastAsia="Arial" w:hAnsi="Arial"/>
          <w:sz w:val="24"/>
          <w:szCs w:val="24"/>
        </w:rPr>
        <w:t xml:space="preserve">- нарушение графика плановых платежей на срок от 91 до 180 дней;</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от 91 до 180 дней;</w:t>
      </w:r>
    </w:p>
    <w:p>
      <w:pPr>
        <w:spacing w:after="60"/>
        <w:ind w:firstLine="567"/>
        <w:jc w:val="both"/>
      </w:pPr>
      <w:r>
        <w:rPr>
          <w:rFonts w:ascii="Arial" w:cs="Arial" w:eastAsia="Arial" w:hAnsi="Arial"/>
          <w:sz w:val="24"/>
          <w:szCs w:val="24"/>
        </w:rPr>
        <w:t xml:space="preserve">- нарушение графика реализации проекта, поступления финансовых потоков на срок от 91 до 180 дней;</w:t>
      </w:r>
    </w:p>
    <w:p>
      <w:pPr>
        <w:spacing w:after="60"/>
        <w:ind w:firstLine="567"/>
        <w:jc w:val="both"/>
      </w:pPr>
      <w:r>
        <w:rPr>
          <w:rFonts w:ascii="Arial" w:cs="Arial" w:eastAsia="Arial" w:hAnsi="Arial"/>
          <w:sz w:val="24"/>
          <w:szCs w:val="24"/>
        </w:rPr>
        <w:t xml:space="preserve">- нарушение сроков исполнения договоров третьими сторонами на срок от 91 до 180 дней;</w:t>
      </w:r>
    </w:p>
    <w:p>
      <w:pPr>
        <w:spacing w:after="60"/>
        <w:ind w:firstLine="567"/>
        <w:jc w:val="both"/>
      </w:pPr>
      <w:r>
        <w:rPr>
          <w:rFonts w:ascii="Arial" w:cs="Arial" w:eastAsia="Arial" w:hAnsi="Arial"/>
          <w:sz w:val="24"/>
          <w:szCs w:val="24"/>
        </w:rPr>
        <w:t xml:space="preserve">- наличие достоверной негативной информации о финансовом состоянии клиента;</w:t>
      </w:r>
    </w:p>
    <w:p>
      <w:pPr>
        <w:spacing w:after="60"/>
        <w:ind w:firstLine="567"/>
        <w:jc w:val="both"/>
      </w:pPr>
      <w:r>
        <w:rPr>
          <w:rFonts w:ascii="Arial" w:cs="Arial" w:eastAsia="Arial" w:hAnsi="Arial"/>
          <w:sz w:val="24"/>
          <w:szCs w:val="24"/>
        </w:rPr>
        <w:t xml:space="preserve">- не предусмотренная бизнес-планом, согласованным с МФО, убыточная деятельность клиента;</w:t>
      </w:r>
    </w:p>
    <w:p>
      <w:pPr>
        <w:spacing w:after="60"/>
        <w:ind w:firstLine="567"/>
        <w:jc w:val="both"/>
      </w:pPr>
      <w:r>
        <w:rPr>
          <w:rFonts w:ascii="Arial" w:cs="Arial" w:eastAsia="Arial" w:hAnsi="Arial"/>
          <w:sz w:val="24"/>
          <w:szCs w:val="24"/>
        </w:rPr>
        <w:t xml:space="preserve">- отсутствие информации о ходе реализации проекта и исполнении бизнес-плана в соответствии со сроками представления, оговоренными в договоре между МФО и клиентом;</w:t>
      </w:r>
    </w:p>
    <w:p>
      <w:pPr>
        <w:spacing w:after="60"/>
        <w:ind w:firstLine="567"/>
        <w:jc w:val="both"/>
      </w:pPr>
      <w:r>
        <w:rPr>
          <w:rFonts w:ascii="Arial" w:cs="Arial" w:eastAsia="Arial" w:hAnsi="Arial"/>
          <w:sz w:val="24"/>
          <w:szCs w:val="24"/>
        </w:rPr>
        <w:t xml:space="preserve">- невозможность осуществления надлежащего мониторинга реализации проекта, в том числе с выездом на объекты финансирования;</w:t>
      </w:r>
    </w:p>
    <w:p>
      <w:pPr>
        <w:spacing w:after="60"/>
        <w:ind w:firstLine="567"/>
        <w:jc w:val="both"/>
      </w:pPr>
      <w:r>
        <w:rPr>
          <w:rFonts w:ascii="Arial" w:cs="Arial" w:eastAsia="Arial" w:hAnsi="Arial"/>
          <w:sz w:val="24"/>
          <w:szCs w:val="24"/>
        </w:rPr>
        <w:t xml:space="preserve">- серьезные ухудшения финансового состояния клиента (либо клиент находится на грани банкротства);</w:t>
      </w:r>
    </w:p>
    <w:p>
      <w:pPr>
        <w:spacing w:after="60"/>
        <w:ind w:firstLine="567"/>
        <w:jc w:val="both"/>
      </w:pPr>
      <w:r>
        <w:rPr>
          <w:rFonts w:ascii="Arial" w:cs="Arial" w:eastAsia="Arial" w:hAnsi="Arial"/>
          <w:i/>
          <w:iCs/>
          <w:sz w:val="24"/>
          <w:szCs w:val="24"/>
        </w:rPr>
        <w:t xml:space="preserve">- (абзац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30 мая 2018 года № 2018-П-12/20-2)</w:t>
      </w:r>
    </w:p>
    <w:p>
      <w:pPr>
        <w:spacing w:after="60"/>
        <w:ind w:firstLine="567"/>
        <w:jc w:val="both"/>
      </w:pPr>
      <w:r>
        <w:rPr>
          <w:rFonts w:ascii="Arial" w:cs="Arial" w:eastAsia="Arial" w:hAnsi="Arial"/>
          <w:sz w:val="24"/>
          <w:szCs w:val="24"/>
        </w:rPr>
        <w:t xml:space="preserve">- значительное ухудшение (или фактическое отсутствие) залогового и/или гарантийного обеспечения и не предоставление клиентом или невозможность предоставления дополнительного залогового или гарантийного обеспечения;</w:t>
      </w:r>
    </w:p>
    <w:p>
      <w:pPr>
        <w:spacing w:after="60"/>
        <w:ind w:firstLine="567"/>
        <w:jc w:val="both"/>
      </w:pPr>
      <w:r>
        <w:rPr>
          <w:rFonts w:ascii="Arial" w:cs="Arial" w:eastAsia="Arial" w:hAnsi="Arial"/>
          <w:sz w:val="24"/>
          <w:szCs w:val="24"/>
        </w:rPr>
        <w:t xml:space="preserve">- значительное ухудшение платежеспособности и материального положения клиента, при котором он не в состоянии выполнять обязательства по возврату актива МФО.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zr3a6aebpagy0prhuoc9s">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МФО должна классифицировать актив в качестве потери при наличии одного из следующих признаков:</w:t>
      </w:r>
    </w:p>
    <w:p>
      <w:pPr>
        <w:spacing w:after="60"/>
        <w:ind w:firstLine="567"/>
        <w:jc w:val="both"/>
      </w:pPr>
      <w:r>
        <w:rPr>
          <w:rFonts w:ascii="Arial" w:cs="Arial" w:eastAsia="Arial" w:hAnsi="Arial"/>
          <w:sz w:val="24"/>
          <w:szCs w:val="24"/>
        </w:rPr>
        <w:t xml:space="preserve">- нарушение графика выполнения условий договора клиентом на срок 180 дней и более;</w:t>
      </w:r>
    </w:p>
    <w:p>
      <w:pPr>
        <w:spacing w:after="60"/>
        <w:ind w:firstLine="567"/>
        <w:jc w:val="both"/>
      </w:pPr>
      <w:r>
        <w:rPr>
          <w:rFonts w:ascii="Arial" w:cs="Arial" w:eastAsia="Arial" w:hAnsi="Arial"/>
          <w:sz w:val="24"/>
          <w:szCs w:val="24"/>
        </w:rPr>
        <w:t xml:space="preserve">- нарушение графика плановых платежей на срок 180 дней и более;</w:t>
      </w:r>
    </w:p>
    <w:p>
      <w:pPr>
        <w:spacing w:after="60"/>
        <w:ind w:firstLine="567"/>
        <w:jc w:val="both"/>
      </w:pPr>
      <w:r>
        <w:rPr>
          <w:rFonts w:ascii="Arial" w:cs="Arial" w:eastAsia="Arial" w:hAnsi="Arial"/>
          <w:sz w:val="24"/>
          <w:szCs w:val="24"/>
        </w:rPr>
        <w:t xml:space="preserve">- нарушение сроков поставки товаров, согласно договору на срок 180 дней и более;</w:t>
      </w:r>
    </w:p>
    <w:p>
      <w:pPr>
        <w:spacing w:after="60"/>
        <w:ind w:firstLine="567"/>
        <w:jc w:val="both"/>
      </w:pPr>
      <w:r>
        <w:rPr>
          <w:rFonts w:ascii="Arial" w:cs="Arial" w:eastAsia="Arial" w:hAnsi="Arial"/>
          <w:sz w:val="24"/>
          <w:szCs w:val="24"/>
        </w:rPr>
        <w:t xml:space="preserve">- нарушение графика реализации проекта, финансовых потоков на срок 180 дней и более;</w:t>
      </w:r>
    </w:p>
    <w:p>
      <w:pPr>
        <w:spacing w:after="60"/>
        <w:ind w:firstLine="567"/>
        <w:jc w:val="both"/>
      </w:pPr>
      <w:r>
        <w:rPr>
          <w:rFonts w:ascii="Arial" w:cs="Arial" w:eastAsia="Arial" w:hAnsi="Arial"/>
          <w:sz w:val="24"/>
          <w:szCs w:val="24"/>
        </w:rPr>
        <w:t xml:space="preserve">- нарушение сроков исполнения контрактов третьими сторонами на срок 180 дней и более;</w:t>
      </w:r>
    </w:p>
    <w:p>
      <w:pPr>
        <w:spacing w:after="60"/>
        <w:ind w:firstLine="567"/>
        <w:jc w:val="both"/>
      </w:pPr>
      <w:r>
        <w:rPr>
          <w:rFonts w:ascii="Arial" w:cs="Arial" w:eastAsia="Arial" w:hAnsi="Arial"/>
          <w:sz w:val="24"/>
          <w:szCs w:val="24"/>
        </w:rPr>
        <w:t xml:space="preserve">- если проект, в котором участвует МФО, не реализован в соответствии с договором;</w:t>
      </w:r>
    </w:p>
    <w:p>
      <w:pPr>
        <w:spacing w:after="60"/>
        <w:ind w:firstLine="567"/>
        <w:jc w:val="both"/>
      </w:pPr>
      <w:r>
        <w:rPr>
          <w:rFonts w:ascii="Arial" w:cs="Arial" w:eastAsia="Arial" w:hAnsi="Arial"/>
          <w:sz w:val="24"/>
          <w:szCs w:val="24"/>
        </w:rPr>
        <w:t xml:space="preserve">- отсутствие залогового обеспечения или невозможность реализации залога из-за отсутствия рынка сбыта;</w:t>
      </w:r>
    </w:p>
    <w:p>
      <w:pPr>
        <w:spacing w:after="60"/>
        <w:ind w:firstLine="567"/>
        <w:jc w:val="both"/>
      </w:pPr>
      <w:r>
        <w:rPr>
          <w:rFonts w:ascii="Arial" w:cs="Arial" w:eastAsia="Arial" w:hAnsi="Arial"/>
          <w:sz w:val="24"/>
          <w:szCs w:val="24"/>
        </w:rPr>
        <w:t xml:space="preserve">- неспособность, отказ клиента выполнить условия договора с МФО;</w:t>
      </w:r>
    </w:p>
    <w:p>
      <w:pPr>
        <w:spacing w:after="60"/>
        <w:ind w:firstLine="567"/>
        <w:jc w:val="both"/>
      </w:pPr>
      <w:r>
        <w:rPr>
          <w:rFonts w:ascii="Arial" w:cs="Arial" w:eastAsia="Arial" w:hAnsi="Arial"/>
          <w:sz w:val="24"/>
          <w:szCs w:val="24"/>
        </w:rPr>
        <w:t xml:space="preserve">- нежелание клиента сотрудничать с МФО, либо отсутствие клиента;</w:t>
      </w:r>
    </w:p>
    <w:p>
      <w:pPr>
        <w:spacing w:after="60"/>
        <w:ind w:firstLine="567"/>
        <w:jc w:val="both"/>
      </w:pPr>
      <w:r>
        <w:rPr>
          <w:rFonts w:ascii="Arial" w:cs="Arial" w:eastAsia="Arial" w:hAnsi="Arial"/>
          <w:sz w:val="24"/>
          <w:szCs w:val="24"/>
        </w:rPr>
        <w:t xml:space="preserve">- банкротство клиента.</w:t>
      </w:r>
    </w:p>
    <w:p>
      <w:pPr>
        <w:spacing w:after="60"/>
        <w:ind w:firstLine="567"/>
        <w:jc w:val="both"/>
      </w:pPr>
      <w:r>
        <w:rPr>
          <w:rFonts w:ascii="Arial" w:cs="Arial" w:eastAsia="Arial" w:hAnsi="Arial"/>
          <w:sz w:val="24"/>
          <w:szCs w:val="24"/>
        </w:rPr>
        <w:t xml:space="preserve">27. После отнесения актива к категории активов, классифицированных как потери, МФО должна принять все меры по обеспечению возврата основной суммы актива и наценки/доходов по нему в соответствии с законодательством Кыргызской Республики, включая обращение в судебные органы. В случае если все принятые меры не обеспечили возврат данного актива, то он учитывается внесистемно не менее трех лет. В случае возврата актива, порядок погашения суммы задолженности осуществляется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nlsg8lnawzmx6evur3kxx">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Особенности классификации активов МФО</w:t>
      </w:r>
    </w:p>
    <w:p>
      <w:pPr>
        <w:spacing w:after="60"/>
        <w:ind w:firstLine="567"/>
        <w:jc w:val="both"/>
      </w:pPr>
      <w:r>
        <w:rPr>
          <w:rFonts w:ascii="Arial" w:cs="Arial" w:eastAsia="Arial" w:hAnsi="Arial"/>
          <w:sz w:val="24"/>
          <w:szCs w:val="24"/>
        </w:rPr>
        <w:t xml:space="preserve">28. Классификация прочей собственности МФО.</w:t>
      </w:r>
    </w:p>
    <w:p>
      <w:pPr>
        <w:spacing w:after="60"/>
        <w:ind w:firstLine="567"/>
        <w:jc w:val="both"/>
      </w:pPr>
      <w:r>
        <w:rPr>
          <w:rFonts w:ascii="Arial" w:cs="Arial" w:eastAsia="Arial" w:hAnsi="Arial"/>
          <w:sz w:val="24"/>
          <w:szCs w:val="24"/>
        </w:rPr>
        <w:t xml:space="preserve">Прочая собственность МФО, т.е. собственность (имущество), принятая в погашение предоставленного МФО финансирования и активов, несущих в себе кредитный риск, сразу после признания ее в балансе классифицируется, как минимум, как субстандартная.</w:t>
      </w:r>
    </w:p>
    <w:p>
      <w:pPr>
        <w:spacing w:after="60"/>
        <w:ind w:firstLine="567"/>
        <w:jc w:val="both"/>
      </w:pPr>
      <w:r>
        <w:rPr>
          <w:rFonts w:ascii="Arial" w:cs="Arial" w:eastAsia="Arial" w:hAnsi="Arial"/>
          <w:sz w:val="24"/>
          <w:szCs w:val="24"/>
        </w:rPr>
        <w:t xml:space="preserve">29. Прочая собственность классифицируется как потери, если она не продана МФО по истечении следующих сроков:</w:t>
      </w:r>
    </w:p>
    <w:p>
      <w:pPr>
        <w:spacing w:after="60"/>
        <w:ind w:firstLine="567"/>
        <w:jc w:val="both"/>
      </w:pPr>
      <w:r>
        <w:rPr>
          <w:rFonts w:ascii="Arial" w:cs="Arial" w:eastAsia="Arial" w:hAnsi="Arial"/>
          <w:sz w:val="24"/>
          <w:szCs w:val="24"/>
        </w:rPr>
        <w:t xml:space="preserve">1) одного года - для движимого имущества;</w:t>
      </w:r>
    </w:p>
    <w:p>
      <w:pPr>
        <w:spacing w:after="60"/>
        <w:ind w:firstLine="567"/>
        <w:jc w:val="both"/>
      </w:pPr>
      <w:r>
        <w:rPr>
          <w:rFonts w:ascii="Arial" w:cs="Arial" w:eastAsia="Arial" w:hAnsi="Arial"/>
          <w:sz w:val="24"/>
          <w:szCs w:val="24"/>
        </w:rPr>
        <w:t xml:space="preserve">2) трех лет с момента возникновения права собственности - для недвижимого имущества, за исключением земель сельскохозяйственного назначения, сроки по которым устанавливаются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 ноября 2015 года № 65/1</w:t>
      </w:r>
      <w:r>
        <w:rPr>
          <w:rFonts w:ascii="Arial" w:cs="Arial" w:eastAsia="Arial" w:hAnsi="Arial"/>
          <w:i/>
          <w:iCs/>
          <w:sz w:val="24"/>
          <w:szCs w:val="24"/>
        </w:rPr>
        <w:t xml:space="preserve">, </w:t>
      </w:r>
      <w:r>
        <w:rPr>
          <w:rFonts w:ascii="Arial" w:cs="Arial" w:eastAsia="Arial" w:hAnsi="Arial"/>
          <w:i/>
          <w:iCs/>
          <w:sz w:val="24"/>
          <w:szCs w:val="24"/>
        </w:rPr>
        <w:t xml:space="preserve">31 мая 2017 года № 21/10</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Классификация инвестиций МФО.</w:t>
      </w:r>
    </w:p>
    <w:p>
      <w:pPr>
        <w:spacing w:after="60"/>
        <w:ind w:firstLine="567"/>
        <w:jc w:val="both"/>
      </w:pPr>
      <w:r>
        <w:rPr>
          <w:rFonts w:ascii="Arial" w:cs="Arial" w:eastAsia="Arial" w:hAnsi="Arial"/>
          <w:sz w:val="24"/>
          <w:szCs w:val="24"/>
        </w:rPr>
        <w:t xml:space="preserve">МФО проводят оценку качества своих инвестиций и их классификацию, принимая во внимание также, в частности, следующие факторы:</w:t>
      </w:r>
    </w:p>
    <w:p>
      <w:pPr>
        <w:spacing w:after="60"/>
        <w:ind w:firstLine="567"/>
        <w:jc w:val="both"/>
      </w:pPr>
      <w:r>
        <w:rPr>
          <w:rFonts w:ascii="Arial" w:cs="Arial" w:eastAsia="Arial" w:hAnsi="Arial"/>
          <w:sz w:val="24"/>
          <w:szCs w:val="24"/>
        </w:rPr>
        <w:t xml:space="preserve">- положение на рынке и финансовое состояние организаций, в которые инвестируются средства МФО;</w:t>
      </w:r>
    </w:p>
    <w:p>
      <w:pPr>
        <w:spacing w:after="60"/>
        <w:ind w:firstLine="567"/>
        <w:jc w:val="both"/>
      </w:pPr>
      <w:r>
        <w:rPr>
          <w:rFonts w:ascii="Arial" w:cs="Arial" w:eastAsia="Arial" w:hAnsi="Arial"/>
          <w:sz w:val="24"/>
          <w:szCs w:val="24"/>
        </w:rPr>
        <w:t xml:space="preserve">- сроки и объемы инвестирования;</w:t>
      </w:r>
    </w:p>
    <w:p>
      <w:pPr>
        <w:spacing w:after="60"/>
        <w:ind w:firstLine="567"/>
        <w:jc w:val="both"/>
      </w:pPr>
      <w:r>
        <w:rPr>
          <w:rFonts w:ascii="Arial" w:cs="Arial" w:eastAsia="Arial" w:hAnsi="Arial"/>
          <w:sz w:val="24"/>
          <w:szCs w:val="24"/>
        </w:rPr>
        <w:t xml:space="preserve">- возможность вернуть инвестированные средства;</w:t>
      </w:r>
    </w:p>
    <w:p>
      <w:pPr>
        <w:spacing w:after="60"/>
        <w:ind w:firstLine="567"/>
        <w:jc w:val="both"/>
      </w:pPr>
      <w:r>
        <w:rPr>
          <w:rFonts w:ascii="Arial" w:cs="Arial" w:eastAsia="Arial" w:hAnsi="Arial"/>
          <w:sz w:val="24"/>
          <w:szCs w:val="24"/>
        </w:rPr>
        <w:t xml:space="preserve">- доходность по инвестиции;</w:t>
      </w:r>
    </w:p>
    <w:p>
      <w:pPr>
        <w:spacing w:after="60"/>
        <w:ind w:firstLine="567"/>
        <w:jc w:val="both"/>
      </w:pPr>
      <w:r>
        <w:rPr>
          <w:rFonts w:ascii="Arial" w:cs="Arial" w:eastAsia="Arial" w:hAnsi="Arial"/>
          <w:sz w:val="24"/>
          <w:szCs w:val="24"/>
        </w:rPr>
        <w:t xml:space="preserve">- имеет ли организация, в которую инвестируются средства МФО, обязательства перед МФО по каким-либо другим активам, и к какой категории классификации они отнесены.</w:t>
      </w:r>
    </w:p>
    <w:p>
      <w:pPr>
        <w:spacing w:after="60"/>
        <w:ind w:firstLine="567"/>
        <w:jc w:val="both"/>
      </w:pPr>
      <w:r>
        <w:rPr>
          <w:rFonts w:ascii="Arial" w:cs="Arial" w:eastAsia="Arial" w:hAnsi="Arial"/>
          <w:sz w:val="24"/>
          <w:szCs w:val="24"/>
        </w:rPr>
        <w:t xml:space="preserve">31. Инвестиции в ценные бумаги Правительства Кыргызской Республики и Национального банка не классифицируются, и по ним не создается РППУ.</w:t>
      </w:r>
    </w:p>
    <w:p>
      <w:pPr>
        <w:spacing w:after="60"/>
        <w:ind w:firstLine="567"/>
        <w:jc w:val="both"/>
      </w:pPr>
      <w:r>
        <w:rPr>
          <w:rFonts w:ascii="Arial" w:cs="Arial" w:eastAsia="Arial" w:hAnsi="Arial"/>
          <w:sz w:val="24"/>
          <w:szCs w:val="24"/>
        </w:rPr>
        <w:t xml:space="preserve">32. Классификация реструктуризированных активов МФО.</w:t>
      </w:r>
    </w:p>
    <w:p>
      <w:pPr>
        <w:spacing w:after="60"/>
        <w:ind w:firstLine="567"/>
        <w:jc w:val="both"/>
      </w:pPr>
      <w:r>
        <w:rPr>
          <w:rFonts w:ascii="Arial" w:cs="Arial" w:eastAsia="Arial" w:hAnsi="Arial"/>
          <w:sz w:val="24"/>
          <w:szCs w:val="24"/>
        </w:rPr>
        <w:t xml:space="preserve">Реструктуризированные активы - это активы, по которым МФО предоставляет клиенту преференции (послабления) в индивидуальном порядке путем изменения условий договора (с обязательным заключением нового договора или дополнительного соглашения к договору финансирования), с целью обеспечения возврата долга клиента. При этом изменение наценки и/или срока финансирования до погашения суммы основного долга/наценки приводят к изменению ожидаемых будущих денежных потоков.</w:t>
      </w:r>
    </w:p>
    <w:p>
      <w:pPr>
        <w:spacing w:after="60"/>
        <w:ind w:firstLine="567"/>
        <w:jc w:val="both"/>
      </w:pPr>
      <w:r>
        <w:rPr>
          <w:rFonts w:ascii="Arial" w:cs="Arial" w:eastAsia="Arial" w:hAnsi="Arial"/>
          <w:sz w:val="24"/>
          <w:szCs w:val="24"/>
        </w:rPr>
        <w:t xml:space="preserve">Реструктуризация представляет собой:</w:t>
      </w:r>
    </w:p>
    <w:p>
      <w:pPr>
        <w:spacing w:after="60"/>
        <w:ind w:firstLine="567"/>
        <w:jc w:val="both"/>
      </w:pPr>
      <w:r>
        <w:rPr>
          <w:rFonts w:ascii="Arial" w:cs="Arial" w:eastAsia="Arial" w:hAnsi="Arial"/>
          <w:sz w:val="24"/>
          <w:szCs w:val="24"/>
        </w:rPr>
        <w:t xml:space="preserve">- изменение условий действующего договора финансирования в связи с ухудшением финансового состояния клиента путем предоставления более благоприятных условий клиенту по погашению финансирования, для обеспечения возврата долга клиента;</w:t>
      </w:r>
    </w:p>
    <w:p>
      <w:pPr>
        <w:spacing w:after="60"/>
        <w:ind w:firstLine="567"/>
        <w:jc w:val="both"/>
      </w:pPr>
      <w:r>
        <w:rPr>
          <w:rFonts w:ascii="Arial" w:cs="Arial" w:eastAsia="Arial" w:hAnsi="Arial"/>
          <w:sz w:val="24"/>
          <w:szCs w:val="24"/>
        </w:rPr>
        <w:t xml:space="preserve">- изменение условий договора путем частичного списания основной суммы финансирования.</w:t>
      </w:r>
    </w:p>
    <w:p>
      <w:pPr>
        <w:spacing w:after="60"/>
        <w:ind w:firstLine="567"/>
        <w:jc w:val="both"/>
      </w:pPr>
      <w:r>
        <w:rPr>
          <w:rFonts w:ascii="Arial" w:cs="Arial" w:eastAsia="Arial" w:hAnsi="Arial"/>
          <w:sz w:val="24"/>
          <w:szCs w:val="24"/>
        </w:rPr>
        <w:t xml:space="preserve">Изменение первоначальных условий договора по финансированию, не связанные с ухудшением финансового состояния клиента, не являются реструктуризацией актива (например, перевод валюты актива из иностранной в национальную и другие).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jvli2kf7xxat0tvbg-v4c">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32-1. В случае если неклассифицированный актив, по которому была произведена реструктуризация и по которому полностью или частично имелись просроченные платежи более чем на 30 дней, по меньшей мере 1 раз в течение последних 3 месяцев, то данное обстоятельство может являться показателем возникновения финансовых затруднений у клиента по реструктуризированному активу.</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ulaqf8rr7k9c6v49fetc2">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32-2. Реструктуризация может применяться в отношении как классифицированных, так и неклассифицированных активов.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qtvnmda4ylxn5ln55a74g">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32-3. Классифицированный реструктуризированный актив не может относиться к неклассифицированным активам до выполнения условий пункта 32-8 Положения.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xorcsvb0nhaoylbido-no">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32-4. Внесение изменений в договор финансирования, когда клиент испытывает финансовые трудности, путем частичного погашения задолженности по финансированию за счет реализации заложенного имущества по данному финансированию должно рассматриваться в качестве реструктуризации финансирования.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hmnf-bt2v4pyifgykenhj">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32-5. Активы, которые были реструктуризированы, классифицируются МФО как минимум как "актив под наблюдением".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7caqbnpi8onlnqhvg0ox0">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32-6. Реструктуризированный актив должен классифицироваться как "субстандартный", если по нему возникли просроченные платежи более чем на 30 дней или данный актив был реструктуризирован повторно.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kku_ktmdomwo_wyq73lb9">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32-7. Повторно реструктуризированный актив должен классифицироваться как "сомнительный", в случае возникновения просрочек более чем на 30 дней.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ileufrccxh52f4o0_eacg">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32-8. В случае погашении всей просроченной задолженности, активы, классифицированные как "сомнительные" или "потери", переводятся в категорию "субстандартные", при этом МФО может перевести классифицированный "субстандартный" актив в категорию неклассифицированных активов, когда будут выполнены все следующие условия:</w:t>
      </w:r>
    </w:p>
    <w:p>
      <w:pPr>
        <w:spacing w:after="60"/>
        <w:ind w:firstLine="567"/>
        <w:jc w:val="both"/>
      </w:pPr>
      <w:r>
        <w:rPr>
          <w:rFonts w:ascii="Arial" w:cs="Arial" w:eastAsia="Arial" w:hAnsi="Arial"/>
          <w:sz w:val="24"/>
          <w:szCs w:val="24"/>
        </w:rPr>
        <w:t xml:space="preserve">- отсутствие просроченных сумм;</w:t>
      </w:r>
    </w:p>
    <w:p>
      <w:pPr>
        <w:spacing w:after="60"/>
        <w:ind w:firstLine="567"/>
        <w:jc w:val="both"/>
      </w:pPr>
      <w:r>
        <w:rPr>
          <w:rFonts w:ascii="Arial" w:cs="Arial" w:eastAsia="Arial" w:hAnsi="Arial"/>
          <w:sz w:val="24"/>
          <w:szCs w:val="24"/>
        </w:rPr>
        <w:t xml:space="preserve">- своевременная полная оплата последних трех взносов согласно графику;</w:t>
      </w:r>
    </w:p>
    <w:p>
      <w:pPr>
        <w:spacing w:after="60"/>
        <w:ind w:firstLine="567"/>
        <w:jc w:val="both"/>
      </w:pPr>
      <w:r>
        <w:rPr>
          <w:rFonts w:ascii="Arial" w:cs="Arial" w:eastAsia="Arial" w:hAnsi="Arial"/>
          <w:sz w:val="24"/>
          <w:szCs w:val="24"/>
        </w:rPr>
        <w:t xml:space="preserve">- текущая деятельность и финансовое состояние заемщика позволяют в полной мере соблюдать условия реструктуризации.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3mshnzv1bqysszy4zjzl-">
        <w:r>
          <w:rPr>
            <w:rFonts w:ascii="Arial" w:cs="Arial" w:eastAsia="Arial" w:hAnsi="Arial"/>
            <w:i/>
            <w:iCs/>
            <w:color w:val="1D4ED8"/>
            <w:sz w:val="24"/>
            <w:szCs w:val="24"/>
            <w:u w:val="single"/>
          </w:rPr>
          <w:t xml:space="preserve">30 мая 2018 года № 2018-П-12/20-2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Формирование РППУ</w:t>
      </w:r>
    </w:p>
    <w:p>
      <w:pPr>
        <w:spacing w:after="60"/>
        <w:ind w:firstLine="567"/>
        <w:jc w:val="both"/>
      </w:pPr>
      <w:r>
        <w:rPr>
          <w:rFonts w:ascii="Arial" w:cs="Arial" w:eastAsia="Arial" w:hAnsi="Arial"/>
          <w:sz w:val="24"/>
          <w:szCs w:val="24"/>
        </w:rPr>
        <w:t xml:space="preserve">33. МФО проводят оценку адекватности РППУ ежемесячно на основании результатов ежемесячной оценки качества активов.</w:t>
      </w:r>
    </w:p>
    <w:p>
      <w:pPr>
        <w:spacing w:after="60"/>
        <w:ind w:firstLine="567"/>
        <w:jc w:val="both"/>
      </w:pPr>
      <w:r>
        <w:rPr>
          <w:rFonts w:ascii="Arial" w:cs="Arial" w:eastAsia="Arial" w:hAnsi="Arial"/>
          <w:sz w:val="24"/>
          <w:szCs w:val="24"/>
        </w:rPr>
        <w:t xml:space="preserve">34. МФО создают РППУ за счет расходов независимо от размера полученных доходов, осуществляя отчисления в РППУ через активный балансовый счет "Расходы по созданию резерва на покрытие потенциальных потерь и убытков" в сумме, достаточной для поддержания резерва на уровне, соответствующем текущей оценке качества активов МФО.</w:t>
      </w:r>
    </w:p>
    <w:p>
      <w:pPr>
        <w:spacing w:after="60"/>
        <w:ind w:firstLine="567"/>
        <w:jc w:val="both"/>
      </w:pPr>
      <w:r>
        <w:rPr>
          <w:rFonts w:ascii="Arial" w:cs="Arial" w:eastAsia="Arial" w:hAnsi="Arial"/>
          <w:sz w:val="24"/>
          <w:szCs w:val="24"/>
        </w:rPr>
        <w:t xml:space="preserve">35. Национальный банк устанавливает следующие размеры отчислений в РППУ по активам, размещенным согласно исламским принципам банковского дела и финансирования:</w:t>
      </w:r>
    </w:p>
    <w:p>
      <w:pPr>
        <w:spacing w:after="60"/>
        <w:ind w:firstLine="567"/>
        <w:jc w:val="both"/>
      </w:pPr>
      <w:r>
        <w:rPr>
          <w:rFonts w:ascii="Arial" w:cs="Arial" w:eastAsia="Arial" w:hAnsi="Arial"/>
          <w:sz w:val="24"/>
          <w:szCs w:val="24"/>
        </w:rPr>
        <w:t xml:space="preserve">1) общие резервы:</w:t>
      </w:r>
    </w:p>
    <w:p>
      <w:pPr>
        <w:spacing w:after="60"/>
        <w:ind w:firstLine="567"/>
        <w:jc w:val="both"/>
      </w:pPr>
      <w:r>
        <w:rPr>
          <w:rFonts w:ascii="Arial" w:cs="Arial" w:eastAsia="Arial" w:hAnsi="Arial"/>
          <w:sz w:val="24"/>
          <w:szCs w:val="24"/>
        </w:rPr>
        <w:t xml:space="preserve">- нормальные - 0-5%;</w:t>
      </w:r>
    </w:p>
    <w:p>
      <w:pPr>
        <w:spacing w:after="60"/>
        <w:ind w:firstLine="567"/>
        <w:jc w:val="both"/>
      </w:pPr>
      <w:r>
        <w:rPr>
          <w:rFonts w:ascii="Arial" w:cs="Arial" w:eastAsia="Arial" w:hAnsi="Arial"/>
          <w:sz w:val="24"/>
          <w:szCs w:val="24"/>
        </w:rPr>
        <w:t xml:space="preserve">- активы под наблюдением - 10%;</w:t>
      </w:r>
    </w:p>
    <w:p>
      <w:pPr>
        <w:spacing w:after="60"/>
        <w:ind w:firstLine="567"/>
        <w:jc w:val="both"/>
      </w:pPr>
      <w:r>
        <w:rPr>
          <w:rFonts w:ascii="Arial" w:cs="Arial" w:eastAsia="Arial" w:hAnsi="Arial"/>
          <w:sz w:val="24"/>
          <w:szCs w:val="24"/>
        </w:rPr>
        <w:t xml:space="preserve">2) специальные резервы:</w:t>
      </w:r>
    </w:p>
    <w:p>
      <w:pPr>
        <w:spacing w:after="60"/>
        <w:ind w:firstLine="567"/>
        <w:jc w:val="both"/>
      </w:pPr>
      <w:r>
        <w:rPr>
          <w:rFonts w:ascii="Arial" w:cs="Arial" w:eastAsia="Arial" w:hAnsi="Arial"/>
          <w:sz w:val="24"/>
          <w:szCs w:val="24"/>
        </w:rPr>
        <w:t xml:space="preserve">- субстандартные - 25%;</w:t>
      </w:r>
    </w:p>
    <w:p>
      <w:pPr>
        <w:spacing w:after="60"/>
        <w:ind w:firstLine="567"/>
        <w:jc w:val="both"/>
      </w:pPr>
      <w:r>
        <w:rPr>
          <w:rFonts w:ascii="Arial" w:cs="Arial" w:eastAsia="Arial" w:hAnsi="Arial"/>
          <w:sz w:val="24"/>
          <w:szCs w:val="24"/>
        </w:rPr>
        <w:t xml:space="preserve">- сомнительные - 50%;</w:t>
      </w:r>
    </w:p>
    <w:p>
      <w:pPr>
        <w:spacing w:after="60"/>
        <w:ind w:firstLine="567"/>
        <w:jc w:val="both"/>
      </w:pPr>
      <w:r>
        <w:rPr>
          <w:rFonts w:ascii="Arial" w:cs="Arial" w:eastAsia="Arial" w:hAnsi="Arial"/>
          <w:sz w:val="24"/>
          <w:szCs w:val="24"/>
        </w:rPr>
        <w:t xml:space="preserve">- потери -100%.</w:t>
      </w:r>
    </w:p>
    <w:p>
      <w:pPr>
        <w:spacing w:after="60"/>
        <w:ind w:firstLine="567"/>
        <w:jc w:val="both"/>
      </w:pPr>
      <w:r>
        <w:rPr>
          <w:rFonts w:ascii="Arial" w:cs="Arial" w:eastAsia="Arial" w:hAnsi="Arial"/>
          <w:sz w:val="24"/>
          <w:szCs w:val="24"/>
        </w:rPr>
        <w:t xml:space="preserve">36. Согласно классификации активов производится расчет требуемого размера РППУ по каждому активу, несущему в себе кредитный риск, в соответствии с установленными нормами отчислений. Требуемые отчисления в резерв по каждому финансированию суммируются и определяется итоговый размер РППУ на конец отчетного периода. Для определения адекватности РППУ рассчитанный размер резерва сравнивается с размером резерва, определенного при предыдущей классификации. В случае, когда размер РППУ по балансу меньше, чем его итоговый размер, МФО необходимо произвести дополнительные отчисления в РППУ, чтобы привести резерв в соответствие с рассчитанным размером на конец отчетного периода. Дополнительные отчисления в РППУ не производятся в случае, если сумма фактически сформированного резерва по балансу больше или равна расчетной сумме РППУ.</w:t>
      </w:r>
    </w:p>
    <w:p>
      <w:pPr>
        <w:spacing w:after="60"/>
        <w:ind w:firstLine="567"/>
        <w:jc w:val="both"/>
      </w:pPr>
      <w:r>
        <w:rPr>
          <w:rFonts w:ascii="Arial" w:cs="Arial" w:eastAsia="Arial" w:hAnsi="Arial"/>
          <w:sz w:val="24"/>
          <w:szCs w:val="24"/>
        </w:rPr>
        <w:t xml:space="preserve">37. Сумма РППУ по балансу, которая превышает итоговый требуемый размер на конец отчетного периода (месяца), может быть направлена на уменьшение расходов по созданию РППУ.</w:t>
      </w:r>
    </w:p>
    <w:p>
      <w:pPr>
        <w:spacing w:after="60"/>
        <w:ind w:firstLine="567"/>
        <w:jc w:val="both"/>
      </w:pPr>
      <w:r>
        <w:rPr>
          <w:rFonts w:ascii="Arial" w:cs="Arial" w:eastAsia="Arial" w:hAnsi="Arial"/>
          <w:sz w:val="24"/>
          <w:szCs w:val="24"/>
        </w:rPr>
        <w:t xml:space="preserve">38. Регулярная проверка адекватности РППУ текущему состоянию активов МФО осуществляется внутренним аудитором (службой внутреннего аудита) МФО, обязанностью которого является немедленное информирование руководства МФО о выявленных недостатках.</w:t>
      </w:r>
    </w:p>
    <w:p>
      <w:pPr>
        <w:spacing w:after="60"/>
        <w:ind w:firstLine="567"/>
        <w:jc w:val="both"/>
      </w:pPr>
      <w:r>
        <w:rPr>
          <w:rFonts w:ascii="Arial" w:cs="Arial" w:eastAsia="Arial" w:hAnsi="Arial"/>
          <w:sz w:val="24"/>
          <w:szCs w:val="24"/>
        </w:rPr>
        <w:t xml:space="preserve">МФО вправе выбрать более консервативный подход к оценке активов. В этих целях МФО может разработать внутренние процедуры по оценке адекватности кредитных рисков, не нарушающие требований настоящего Положения.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8z7ixlnoqzifh-o808sf">
      <w:r>
        <w:rPr>
          <w:rFonts w:ascii="Arial" w:cs="Arial" w:eastAsia="Arial" w:hAnsi="Arial"/>
          <w:color w:val="132D3F"/>
          <w:sz w:val="16"/>
          <w:szCs w:val="16"/>
          <w:u w:val="single"/>
        </w:rPr>
        <w:t xml:space="preserve">dalil.kg/document/302959</w:t>
      </w:r>
    </w:hyperlink>
  </w:p>
  <w:p>
    <w:pPr>
      <w:spacing w:after="0" w:before="40"/>
      <w:jc w:val="center"/>
    </w:pPr>
    <w:hyperlink w:history="1" r:id="rIdb8ybb3e6kccoyqm8clzg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f6no8teowo8runmz51kk" Type="http://schemas.openxmlformats.org/officeDocument/2006/relationships/hyperlink" Target="https://dalil.kg/document/302958" TargetMode="External"/><Relationship Id="rId-goi8f_jkephgdk2nht0b" Type="http://schemas.openxmlformats.org/officeDocument/2006/relationships/hyperlink" Target="https://dalil.kg/document/302998" TargetMode="External"/><Relationship Id="rIdhghao7-d5j35qo66yoinm" Type="http://schemas.openxmlformats.org/officeDocument/2006/relationships/hyperlink" Target="https://dalil.kg/document/800078" TargetMode="External"/><Relationship Id="rIdm96vtz4r1az5xx8g7q_tw" Type="http://schemas.openxmlformats.org/officeDocument/2006/relationships/hyperlink" Target="https://dalil.kg/document/800078" TargetMode="External"/><Relationship Id="rIdihvqdli61akwy3alabdag" Type="http://schemas.openxmlformats.org/officeDocument/2006/relationships/hyperlink" Target="https://dalil.kg/document/301136" TargetMode="External"/><Relationship Id="rIdhdaklscywgjknnjmpjkhf" Type="http://schemas.openxmlformats.org/officeDocument/2006/relationships/hyperlink" Target="https://dalil.kg/document/301135" TargetMode="External"/><Relationship Id="rIdie0myvqvnw_ioyb0are_7" Type="http://schemas.openxmlformats.org/officeDocument/2006/relationships/hyperlink" Target="https://dalil.kg/document/302998" TargetMode="External"/><Relationship Id="rIdcy_72u02wmtchmpwjlnhe" Type="http://schemas.openxmlformats.org/officeDocument/2006/relationships/hyperlink" Target="https://dalil.kg/document/800078" TargetMode="External"/><Relationship Id="rIdcjksztmnil5900e_h7ssc" Type="http://schemas.openxmlformats.org/officeDocument/2006/relationships/hyperlink" Target="https://dalil.kg/document/800078" TargetMode="External"/><Relationship Id="rIdzr3a6aebpagy0prhuoc9s" Type="http://schemas.openxmlformats.org/officeDocument/2006/relationships/hyperlink" Target="https://dalil.kg/document/800078" TargetMode="External"/><Relationship Id="rIdnlsg8lnawzmx6evur3kxx" Type="http://schemas.openxmlformats.org/officeDocument/2006/relationships/hyperlink" Target="https://dalil.kg/document/800078" TargetMode="External"/><Relationship Id="rIdjvli2kf7xxat0tvbg-v4c" Type="http://schemas.openxmlformats.org/officeDocument/2006/relationships/hyperlink" Target="https://dalil.kg/document/800078" TargetMode="External"/><Relationship Id="rIdulaqf8rr7k9c6v49fetc2" Type="http://schemas.openxmlformats.org/officeDocument/2006/relationships/hyperlink" Target="https://dalil.kg/document/800078" TargetMode="External"/><Relationship Id="rIdqtvnmda4ylxn5ln55a74g" Type="http://schemas.openxmlformats.org/officeDocument/2006/relationships/hyperlink" Target="https://dalil.kg/document/800078" TargetMode="External"/><Relationship Id="rIdxorcsvb0nhaoylbido-no" Type="http://schemas.openxmlformats.org/officeDocument/2006/relationships/hyperlink" Target="https://dalil.kg/document/800078" TargetMode="External"/><Relationship Id="rIdhmnf-bt2v4pyifgykenhj" Type="http://schemas.openxmlformats.org/officeDocument/2006/relationships/hyperlink" Target="https://dalil.kg/document/800078" TargetMode="External"/><Relationship Id="rId7caqbnpi8onlnqhvg0ox0" Type="http://schemas.openxmlformats.org/officeDocument/2006/relationships/hyperlink" Target="https://dalil.kg/document/800078" TargetMode="External"/><Relationship Id="rIdkku_ktmdomwo_wyq73lb9" Type="http://schemas.openxmlformats.org/officeDocument/2006/relationships/hyperlink" Target="https://dalil.kg/document/800078" TargetMode="External"/><Relationship Id="rIdileufrccxh52f4o0_eacg" Type="http://schemas.openxmlformats.org/officeDocument/2006/relationships/hyperlink" Target="https://dalil.kg/document/800078" TargetMode="External"/><Relationship Id="rId3mshnzv1bqysszy4zjzl-" Type="http://schemas.openxmlformats.org/officeDocument/2006/relationships/hyperlink" Target="https://dalil.kg/document/80007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8z7ixlnoqzifh-o808sf" Type="http://schemas.openxmlformats.org/officeDocument/2006/relationships/hyperlink" Target="https://dalil.kg/document/302959" TargetMode="External"/><Relationship Id="rIdb8ybb3e6kccoyqm8clzg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2026-09-25T09:59:38.886Z</dcterms:created>
  <dcterms:modified xsi:type="dcterms:W3CDTF">2026-09-25T09:59:38.886Z</dcterms:modified>
</cp:coreProperties>
</file>

<file path=docProps/custom.xml><?xml version="1.0" encoding="utf-8"?>
<Properties xmlns="http://schemas.openxmlformats.org/officeDocument/2006/custom-properties" xmlns:vt="http://schemas.openxmlformats.org/officeDocument/2006/docPropsVTypes"/>
</file>