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hecfptlogibcbxfufpa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25 февраля 2015 года № 13/11</w:t>
      </w:r>
    </w:p>
    <w:p>
      <w:pPr>
        <w:spacing w:after="400" w:before="400"/>
        <w:jc w:val="center"/>
      </w:pPr>
      <w:r>
        <w:rPr>
          <w:rFonts w:ascii="Arial" w:cs="Arial" w:eastAsia="Arial" w:hAnsi="Arial"/>
          <w:b/>
          <w:bCs/>
          <w:sz w:val="32"/>
          <w:szCs w:val="32"/>
        </w:rPr>
        <w:t xml:space="preserve">ИНСТРУКЦИЯ
 по установлению Национальным банком Кыргызской Республики цены продажи и цены обратного выкупа аффинированных мерных слитков из золота и серебра, выпускаемых Национальным банком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4vppqxasw5vmlsabugsfk">
        <w:r>
          <w:rPr>
            <w:rFonts w:ascii="Arial" w:cs="Arial" w:eastAsia="Arial" w:hAnsi="Arial"/>
            <w:i/>
            <w:iCs/>
            <w:color w:val="1D4ED8"/>
            <w:sz w:val="24"/>
            <w:szCs w:val="24"/>
            <w:u w:val="single"/>
          </w:rPr>
          <w:t xml:space="preserve">4 марта 2015 года № 14/1</w:t>
        </w:r>
      </w:hyperlink>
      <w:r>
        <w:rPr>
          <w:rFonts w:ascii="Arial" w:cs="Arial" w:eastAsia="Arial" w:hAnsi="Arial"/>
          <w:i/>
          <w:iCs/>
          <w:sz w:val="24"/>
          <w:szCs w:val="24"/>
        </w:rPr>
        <w:t xml:space="preserve">, </w:t>
      </w:r>
      <w:r>
        <w:rPr>
          <w:rFonts w:ascii="Arial" w:cs="Arial" w:eastAsia="Arial" w:hAnsi="Arial"/>
          <w:i/>
          <w:iCs/>
          <w:sz w:val="24"/>
          <w:szCs w:val="24"/>
        </w:rPr>
        <w:t xml:space="preserve">12 апреля 2017 года № 15/5</w:t>
      </w:r>
      <w:r>
        <w:rPr>
          <w:rFonts w:ascii="Arial" w:cs="Arial" w:eastAsia="Arial" w:hAnsi="Arial"/>
          <w:i/>
          <w:iCs/>
          <w:sz w:val="24"/>
          <w:szCs w:val="24"/>
        </w:rPr>
        <w:t xml:space="preserve">, </w:t>
      </w:r>
      <w:hyperlink w:history="1" r:id="rIdc3cmh-dtj9x8n_8sjfl2s">
        <w:r>
          <w:rPr>
            <w:rFonts w:ascii="Arial" w:cs="Arial" w:eastAsia="Arial" w:hAnsi="Arial"/>
            <w:i/>
            <w:iCs/>
            <w:color w:val="1D4ED8"/>
            <w:sz w:val="24"/>
            <w:szCs w:val="24"/>
            <w:u w:val="single"/>
          </w:rPr>
          <w:t xml:space="preserve">11 октября 2017 года № 2017-П-13/44-2</w:t>
        </w:r>
      </w:hyperlink>
      <w:r>
        <w:rPr>
          <w:rFonts w:ascii="Arial" w:cs="Arial" w:eastAsia="Arial" w:hAnsi="Arial"/>
          <w:i/>
          <w:iCs/>
          <w:sz w:val="24"/>
          <w:szCs w:val="24"/>
        </w:rPr>
        <w:t xml:space="preserve">, </w:t>
      </w:r>
      <w:r>
        <w:rPr>
          <w:rFonts w:ascii="Arial" w:cs="Arial" w:eastAsia="Arial" w:hAnsi="Arial"/>
          <w:sz w:val="24"/>
          <w:szCs w:val="24"/>
        </w:rPr>
        <w:t xml:space="preserve">26 </w:t>
      </w:r>
      <w:hyperlink w:history="1" r:id="rIdrvx9qe9ywklc4pokrdnz4">
        <w:r>
          <w:rPr>
            <w:rFonts w:ascii="Arial" w:cs="Arial" w:eastAsia="Arial" w:hAnsi="Arial"/>
            <w:i/>
            <w:iCs/>
            <w:color w:val="1D4ED8"/>
            <w:sz w:val="24"/>
            <w:szCs w:val="24"/>
            <w:u w:val="single"/>
          </w:rPr>
          <w:t xml:space="preserve">сентября 2018 года № 2018-П-13/40-6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i/>
          <w:iCs/>
          <w:sz w:val="24"/>
          <w:szCs w:val="24"/>
        </w:rPr>
        <w:t xml:space="preserve">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12 апреля 2017 года № 15/5)</w:t>
      </w:r>
    </w:p>
    <w:p>
      <w:pPr>
        <w:spacing w:after="60"/>
        <w:ind w:firstLine="567"/>
        <w:jc w:val="both"/>
      </w:pPr>
      <w:r>
        <w:rPr>
          <w:rFonts w:ascii="Arial" w:cs="Arial" w:eastAsia="Arial" w:hAnsi="Arial"/>
          <w:sz w:val="24"/>
          <w:szCs w:val="24"/>
        </w:rPr>
        <w:t xml:space="preserve">2. Настоящая Инструкция определяет порядок установления Национальным банком Кыргызской Республики (далее - Национальный банк) цен на аффинированные мерные слитки из золота и серебра, выпускаемых Национальным банком (далее - мерные слитки) при осуществлении Национальным банком операций по реализации и обратному выкупу мерных слитков.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12 апреля 2017 года № 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Цена продажи и цена обратного выкупа на мерные слитки устанавливаются Национальным банком ежедневно в национальной валюте Кыргызской Республики (сом) на основе вечернего фиксинга Лондонской ассоциации рынка драгоценных металлов предыдущего рабочего дня.</w:t>
      </w:r>
    </w:p>
    <w:p>
      <w:pPr>
        <w:spacing w:after="60"/>
        <w:ind w:firstLine="567"/>
        <w:jc w:val="both"/>
      </w:pPr>
      <w:r>
        <w:rPr>
          <w:rFonts w:ascii="Arial" w:cs="Arial" w:eastAsia="Arial" w:hAnsi="Arial"/>
          <w:sz w:val="24"/>
          <w:szCs w:val="24"/>
        </w:rPr>
        <w:t xml:space="preserve">4. Расчет и установление цены продажи и цены обратного выкупа Национальным банком мерных слитков осуществляется отдельно по каждому виду (массе) мерного слитка.</w:t>
      </w:r>
    </w:p>
    <w:p>
      <w:pPr>
        <w:spacing w:after="60"/>
        <w:ind w:firstLine="567"/>
        <w:jc w:val="both"/>
      </w:pPr>
      <w:r>
        <w:rPr>
          <w:rFonts w:ascii="Arial" w:cs="Arial" w:eastAsia="Arial" w:hAnsi="Arial"/>
          <w:sz w:val="24"/>
          <w:szCs w:val="24"/>
        </w:rPr>
        <w:t xml:space="preserve">5. Цена продажи и цена обратного выкупа мерных слитков публикуется на главной странице официального сайта Национального банка.</w:t>
      </w:r>
    </w:p>
    <w:p>
      <w:pPr>
        <w:spacing w:after="200" w:before="200"/>
        <w:jc w:val="center"/>
      </w:pPr>
      <w:r>
        <w:rPr>
          <w:rFonts w:ascii="Arial" w:cs="Arial" w:eastAsia="Arial" w:hAnsi="Arial"/>
          <w:b/>
          <w:bCs/>
          <w:sz w:val="24"/>
          <w:szCs w:val="24"/>
        </w:rPr>
        <w:t xml:space="preserve">2. Основные понятия и сокращения</w:t>
      </w:r>
    </w:p>
    <w:p>
      <w:pPr>
        <w:spacing w:after="60"/>
        <w:ind w:firstLine="567"/>
        <w:jc w:val="both"/>
      </w:pPr>
      <w:r>
        <w:rPr>
          <w:rFonts w:ascii="Arial" w:cs="Arial" w:eastAsia="Arial" w:hAnsi="Arial"/>
          <w:sz w:val="24"/>
          <w:szCs w:val="24"/>
        </w:rPr>
        <w:t xml:space="preserve">6. В Инструкции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драгоценные металлы</w:t>
      </w:r>
      <w:r>
        <w:rPr>
          <w:rFonts w:ascii="Arial" w:cs="Arial" w:eastAsia="Arial" w:hAnsi="Arial"/>
          <w:sz w:val="24"/>
          <w:szCs w:val="24"/>
        </w:rPr>
        <w:t xml:space="preserve"> - это:</w:t>
      </w:r>
    </w:p>
    <w:p>
      <w:pPr>
        <w:spacing w:after="60"/>
        <w:ind w:firstLine="567"/>
        <w:jc w:val="both"/>
      </w:pPr>
      <w:r>
        <w:rPr>
          <w:rFonts w:ascii="Arial" w:cs="Arial" w:eastAsia="Arial" w:hAnsi="Arial"/>
          <w:sz w:val="24"/>
          <w:szCs w:val="24"/>
        </w:rPr>
        <w:t xml:space="preserve">- золото в стандартных и мерных слитках;</w:t>
      </w:r>
    </w:p>
    <w:p>
      <w:pPr>
        <w:spacing w:after="60"/>
        <w:ind w:firstLine="567"/>
        <w:jc w:val="both"/>
      </w:pPr>
      <w:r>
        <w:rPr>
          <w:rFonts w:ascii="Arial" w:cs="Arial" w:eastAsia="Arial" w:hAnsi="Arial"/>
          <w:sz w:val="24"/>
          <w:szCs w:val="24"/>
        </w:rPr>
        <w:t xml:space="preserve">- серебро в стандартных и мерных слитках.</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аффинированные мерные слитки</w:t>
      </w:r>
      <w:r>
        <w:rPr>
          <w:rFonts w:ascii="Arial" w:cs="Arial" w:eastAsia="Arial" w:hAnsi="Arial"/>
          <w:sz w:val="24"/>
          <w:szCs w:val="24"/>
        </w:rPr>
        <w:t xml:space="preserve"> - изготовленные и маркированные слитки из золота и/или серебра, выпускаемые (выпускаемые) Национальным банком массой 1000 грамм и менее, с содержанием химически чистого основного металла не менее 99,95-99,99 процентов лигатурной массы слитка для золота и не менее 99,00 процентов лигатурной массы слитка для серебра.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одна тройская унция</w:t>
      </w:r>
      <w:r>
        <w:rPr>
          <w:rFonts w:ascii="Arial" w:cs="Arial" w:eastAsia="Arial" w:hAnsi="Arial"/>
          <w:sz w:val="24"/>
          <w:szCs w:val="24"/>
        </w:rPr>
        <w:t xml:space="preserve"> - мера массы, принимаемая как 31,1035 грамм.</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фиксинг</w:t>
      </w:r>
      <w:r>
        <w:rPr>
          <w:rFonts w:ascii="Arial" w:cs="Arial" w:eastAsia="Arial" w:hAnsi="Arial"/>
          <w:sz w:val="24"/>
          <w:szCs w:val="24"/>
        </w:rPr>
        <w:t xml:space="preserve"> - уравновешенная цена одной тройской унции золота (серебра) на международном рынке драгоценных металлов, по которой удовлетворяются все заявки покупателей таких драгоценных металлов, складывающаяся при проведении торгов участниками фиксинга Лондонской ассоциации рынка драгоценных металлов в отношении золота (серебра) в соответствии с правилами указанной ассоциации (LBMA).</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Лондонская ассоциация рынка драгоценных металлов (LBMA)</w:t>
      </w:r>
      <w:r>
        <w:rPr>
          <w:rFonts w:ascii="Arial" w:cs="Arial" w:eastAsia="Arial" w:hAnsi="Arial"/>
          <w:sz w:val="24"/>
          <w:szCs w:val="24"/>
        </w:rPr>
        <w:t xml:space="preserve"> - организация, образованная в 1987 году ведущими мировыми банками-операторами рынка драгоценных металлов при поддержке Банка Англии и являющаяся крупнейшей некоммерческой организацией в мире по вопросам торговли драгоценными металлами.</w:t>
      </w:r>
    </w:p>
    <w:p>
      <w:pPr>
        <w:spacing w:after="200" w:before="200"/>
        <w:jc w:val="center"/>
      </w:pPr>
      <w:r>
        <w:rPr>
          <w:rFonts w:ascii="Arial" w:cs="Arial" w:eastAsia="Arial" w:hAnsi="Arial"/>
          <w:b/>
          <w:bCs/>
          <w:sz w:val="24"/>
          <w:szCs w:val="24"/>
        </w:rPr>
        <w:t xml:space="preserve">3. Порядок установления цены продажи мерных слитков</w:t>
      </w:r>
    </w:p>
    <w:p>
      <w:pPr>
        <w:spacing w:after="60"/>
        <w:ind w:firstLine="567"/>
        <w:jc w:val="both"/>
      </w:pPr>
      <w:r>
        <w:rPr>
          <w:rFonts w:ascii="Arial" w:cs="Arial" w:eastAsia="Arial" w:hAnsi="Arial"/>
          <w:sz w:val="24"/>
          <w:szCs w:val="24"/>
        </w:rPr>
        <w:t xml:space="preserve">7. Цена продажи мерных слитков определяется на основе следующих показателей:</w:t>
      </w:r>
    </w:p>
    <w:p>
      <w:pPr>
        <w:spacing w:after="60"/>
        <w:ind w:firstLine="567"/>
        <w:jc w:val="both"/>
      </w:pPr>
      <w:r>
        <w:rPr>
          <w:rFonts w:ascii="Arial" w:cs="Arial" w:eastAsia="Arial" w:hAnsi="Arial"/>
          <w:sz w:val="24"/>
          <w:szCs w:val="24"/>
        </w:rPr>
        <w:t xml:space="preserve">1) Цена золота (серебра) за 1 тройскую унцию по вечернему фиксингу - в долларах США, установленному LBMA на предыдущий рабочий день, по официальному курсу национальной валюты Кыргызской Республики (сом) к доллару США.</w:t>
      </w:r>
    </w:p>
    <w:p>
      <w:pPr>
        <w:spacing w:after="60"/>
        <w:ind w:firstLine="567"/>
        <w:jc w:val="both"/>
      </w:pPr>
      <w:r>
        <w:rPr>
          <w:rFonts w:ascii="Arial" w:cs="Arial" w:eastAsia="Arial" w:hAnsi="Arial"/>
          <w:sz w:val="24"/>
          <w:szCs w:val="24"/>
        </w:rPr>
        <w:t xml:space="preserve">2) Масса мерных слитков - в тройских унциях.</w:t>
      </w:r>
    </w:p>
    <w:p>
      <w:pPr>
        <w:spacing w:after="60"/>
        <w:ind w:firstLine="567"/>
        <w:jc w:val="both"/>
      </w:pPr>
      <w:r>
        <w:rPr>
          <w:rFonts w:ascii="Arial" w:cs="Arial" w:eastAsia="Arial" w:hAnsi="Arial"/>
          <w:sz w:val="24"/>
          <w:szCs w:val="24"/>
        </w:rPr>
        <w:t xml:space="preserve">3) Средние затраты в национальной валюте Кыргызской Республики (сом) на единицу соответствующего вида (массы) мерного слитка, которые определяются по следующей формуле:</w:t>
      </w:r>
    </w:p>
    <w:p>
      <w:pPr>
        <w:spacing w:after="120" w:before="120"/>
        <w:ind w:firstLine="567"/>
        <w:jc w:val="both"/>
      </w:pPr>
      <w:r>
        <w:rPr>
          <w:rFonts w:ascii="Arial" w:cs="Arial" w:eastAsia="Arial" w:hAnsi="Arial"/>
          <w:sz w:val="24"/>
          <w:szCs w:val="24"/>
        </w:rPr>
        <w:t xml:space="preserve">З</w:t>
      </w:r>
      <w:r>
        <w:rPr>
          <w:rFonts w:ascii="Arial" w:cs="Arial" w:eastAsia="Arial" w:hAnsi="Arial"/>
          <w:sz w:val="24"/>
          <w:szCs w:val="24"/>
        </w:rPr>
        <w:t xml:space="preserve">ср</w:t>
      </w:r>
      <w:r>
        <w:rPr>
          <w:rFonts w:ascii="Arial" w:cs="Arial" w:eastAsia="Arial" w:hAnsi="Arial"/>
          <w:sz w:val="24"/>
          <w:szCs w:val="24"/>
        </w:rPr>
        <w:t xml:space="preserve"> = (З</w:t>
      </w:r>
      <w:r>
        <w:rPr>
          <w:rFonts w:ascii="Arial" w:cs="Arial" w:eastAsia="Arial" w:hAnsi="Arial"/>
          <w:sz w:val="24"/>
          <w:szCs w:val="24"/>
        </w:rPr>
        <w:t xml:space="preserve">1</w:t>
      </w:r>
      <w:r>
        <w:rPr>
          <w:rFonts w:ascii="Arial" w:cs="Arial" w:eastAsia="Arial" w:hAnsi="Arial"/>
          <w:sz w:val="24"/>
          <w:szCs w:val="24"/>
        </w:rPr>
        <w:t xml:space="preserve"> × К</w:t>
      </w:r>
      <w:r>
        <w:rPr>
          <w:rFonts w:ascii="Arial" w:cs="Arial" w:eastAsia="Arial" w:hAnsi="Arial"/>
          <w:sz w:val="24"/>
          <w:szCs w:val="24"/>
        </w:rPr>
        <w:t xml:space="preserve">1</w:t>
      </w:r>
      <w:r>
        <w:rPr>
          <w:rFonts w:ascii="Arial" w:cs="Arial" w:eastAsia="Arial" w:hAnsi="Arial"/>
          <w:sz w:val="24"/>
          <w:szCs w:val="24"/>
        </w:rPr>
        <w:t xml:space="preserve">) + (З</w:t>
      </w:r>
      <w:r>
        <w:rPr>
          <w:rFonts w:ascii="Arial" w:cs="Arial" w:eastAsia="Arial" w:hAnsi="Arial"/>
          <w:sz w:val="24"/>
          <w:szCs w:val="24"/>
        </w:rPr>
        <w:t xml:space="preserve">2</w:t>
      </w:r>
      <w:r>
        <w:rPr>
          <w:rFonts w:ascii="Arial" w:cs="Arial" w:eastAsia="Arial" w:hAnsi="Arial"/>
          <w:sz w:val="24"/>
          <w:szCs w:val="24"/>
        </w:rPr>
        <w:t xml:space="preserve"> × К</w:t>
      </w:r>
      <w:r>
        <w:rPr>
          <w:rFonts w:ascii="Arial" w:cs="Arial" w:eastAsia="Arial" w:hAnsi="Arial"/>
          <w:sz w:val="24"/>
          <w:szCs w:val="24"/>
        </w:rPr>
        <w:t xml:space="preserve">2</w:t>
      </w:r>
      <w:r>
        <w:rPr>
          <w:rFonts w:ascii="Arial" w:cs="Arial" w:eastAsia="Arial" w:hAnsi="Arial"/>
          <w:sz w:val="24"/>
          <w:szCs w:val="24"/>
        </w:rPr>
        <w:t xml:space="preserve">) + … + (З</w:t>
      </w:r>
      <w:r>
        <w:rPr>
          <w:rFonts w:ascii="Arial" w:cs="Arial" w:eastAsia="Arial" w:hAnsi="Arial"/>
          <w:sz w:val="24"/>
          <w:szCs w:val="24"/>
        </w:rPr>
        <w:t xml:space="preserve">n</w:t>
      </w:r>
      <w:r>
        <w:rPr>
          <w:rFonts w:ascii="Arial" w:cs="Arial" w:eastAsia="Arial" w:hAnsi="Arial"/>
          <w:sz w:val="24"/>
          <w:szCs w:val="24"/>
        </w:rPr>
        <w:t xml:space="preserve"> × К</w:t>
      </w:r>
      <w:r>
        <w:rPr>
          <w:rFonts w:ascii="Arial" w:cs="Arial" w:eastAsia="Arial" w:hAnsi="Arial"/>
          <w:sz w:val="24"/>
          <w:szCs w:val="24"/>
        </w:rPr>
        <w:t xml:space="preserve">n</w:t>
      </w:r>
      <w:r>
        <w:rPr>
          <w:rFonts w:ascii="Arial" w:cs="Arial" w:eastAsia="Arial" w:hAnsi="Arial"/>
          <w:sz w:val="24"/>
          <w:szCs w:val="24"/>
        </w:rPr>
        <w:t xml:space="preserve">) / (К</w:t>
      </w:r>
      <w:r>
        <w:rPr>
          <w:rFonts w:ascii="Arial" w:cs="Arial" w:eastAsia="Arial" w:hAnsi="Arial"/>
          <w:sz w:val="24"/>
          <w:szCs w:val="24"/>
        </w:rPr>
        <w:t xml:space="preserve">1</w:t>
      </w:r>
      <w:r>
        <w:rPr>
          <w:rFonts w:ascii="Arial" w:cs="Arial" w:eastAsia="Arial" w:hAnsi="Arial"/>
          <w:sz w:val="24"/>
          <w:szCs w:val="24"/>
        </w:rPr>
        <w:t xml:space="preserve"> + К</w:t>
      </w:r>
      <w:r>
        <w:rPr>
          <w:rFonts w:ascii="Arial" w:cs="Arial" w:eastAsia="Arial" w:hAnsi="Arial"/>
          <w:sz w:val="24"/>
          <w:szCs w:val="24"/>
        </w:rPr>
        <w:t xml:space="preserve">2</w:t>
      </w:r>
      <w:r>
        <w:rPr>
          <w:rFonts w:ascii="Arial" w:cs="Arial" w:eastAsia="Arial" w:hAnsi="Arial"/>
          <w:sz w:val="24"/>
          <w:szCs w:val="24"/>
        </w:rPr>
        <w:t xml:space="preserve"> + ... + К</w:t>
      </w:r>
      <w:r>
        <w:rPr>
          <w:rFonts w:ascii="Arial" w:cs="Arial" w:eastAsia="Arial" w:hAnsi="Arial"/>
          <w:sz w:val="24"/>
          <w:szCs w:val="24"/>
        </w:rPr>
        <w:t xml:space="preserve">n</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З</w:t>
      </w:r>
      <w:r>
        <w:rPr>
          <w:rFonts w:ascii="Arial" w:cs="Arial" w:eastAsia="Arial" w:hAnsi="Arial"/>
          <w:sz w:val="24"/>
          <w:szCs w:val="24"/>
        </w:rPr>
        <w:t xml:space="preserve">ср</w:t>
      </w:r>
      <w:r>
        <w:rPr>
          <w:rFonts w:ascii="Arial" w:cs="Arial" w:eastAsia="Arial" w:hAnsi="Arial"/>
          <w:sz w:val="24"/>
          <w:szCs w:val="24"/>
        </w:rPr>
        <w:t xml:space="preserve"> - средние затраты на единицу соответствующего вида (массы) мерного слитка;</w:t>
      </w:r>
    </w:p>
    <w:p>
      <w:pPr>
        <w:spacing w:after="60"/>
        <w:ind w:firstLine="567"/>
        <w:jc w:val="both"/>
      </w:pPr>
      <w:r>
        <w:rPr>
          <w:rFonts w:ascii="Arial" w:cs="Arial" w:eastAsia="Arial" w:hAnsi="Arial"/>
          <w:sz w:val="24"/>
          <w:szCs w:val="24"/>
        </w:rPr>
        <w:t xml:space="preserve">З</w:t>
      </w:r>
      <w:r>
        <w:rPr>
          <w:rFonts w:ascii="Arial" w:cs="Arial" w:eastAsia="Arial" w:hAnsi="Arial"/>
          <w:sz w:val="24"/>
          <w:szCs w:val="24"/>
        </w:rPr>
        <w:t xml:space="preserve">1</w:t>
      </w:r>
      <w:r>
        <w:rPr>
          <w:rFonts w:ascii="Arial" w:cs="Arial" w:eastAsia="Arial" w:hAnsi="Arial"/>
          <w:sz w:val="24"/>
          <w:szCs w:val="24"/>
        </w:rPr>
        <w:t xml:space="preserve">, З</w:t>
      </w:r>
      <w:r>
        <w:rPr>
          <w:rFonts w:ascii="Arial" w:cs="Arial" w:eastAsia="Arial" w:hAnsi="Arial"/>
          <w:sz w:val="24"/>
          <w:szCs w:val="24"/>
        </w:rPr>
        <w:t xml:space="preserve">2</w:t>
      </w:r>
      <w:r>
        <w:rPr>
          <w:rFonts w:ascii="Arial" w:cs="Arial" w:eastAsia="Arial" w:hAnsi="Arial"/>
          <w:sz w:val="24"/>
          <w:szCs w:val="24"/>
        </w:rPr>
        <w:t xml:space="preserve"> ... З</w:t>
      </w:r>
      <w:r>
        <w:rPr>
          <w:rFonts w:ascii="Arial" w:cs="Arial" w:eastAsia="Arial" w:hAnsi="Arial"/>
          <w:sz w:val="24"/>
          <w:szCs w:val="24"/>
        </w:rPr>
        <w:t xml:space="preserve">n </w:t>
      </w:r>
      <w:r>
        <w:rPr>
          <w:rFonts w:ascii="Arial" w:cs="Arial" w:eastAsia="Arial" w:hAnsi="Arial"/>
          <w:sz w:val="24"/>
          <w:szCs w:val="24"/>
        </w:rPr>
        <w:t xml:space="preserve">-</w:t>
      </w:r>
      <w:r>
        <w:rPr>
          <w:rFonts w:ascii="Arial" w:cs="Arial" w:eastAsia="Arial" w:hAnsi="Arial"/>
          <w:sz w:val="24"/>
          <w:szCs w:val="24"/>
        </w:rPr>
        <w:t xml:space="preserve">затраты на единицу соответствующего вида (массы) мерного слитка по каждой партии мерных слитков, нереализованных на день проведения расчета. Затраты на единицу мерного слитка включают фактические затраты на изготовление мерных слитков (без учета стоимости металла), затраты на упаковку, транспортные расходы, расходы на страховку, налоги и таможенное оформление;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1</w:t>
      </w:r>
      <w:r>
        <w:rPr>
          <w:rFonts w:ascii="Arial" w:cs="Arial" w:eastAsia="Arial" w:hAnsi="Arial"/>
          <w:sz w:val="24"/>
          <w:szCs w:val="24"/>
        </w:rPr>
        <w:t xml:space="preserve">, К</w:t>
      </w:r>
      <w:r>
        <w:rPr>
          <w:rFonts w:ascii="Arial" w:cs="Arial" w:eastAsia="Arial" w:hAnsi="Arial"/>
          <w:sz w:val="24"/>
          <w:szCs w:val="24"/>
        </w:rPr>
        <w:t xml:space="preserve">2 </w:t>
      </w:r>
      <w:r>
        <w:rPr>
          <w:rFonts w:ascii="Arial" w:cs="Arial" w:eastAsia="Arial" w:hAnsi="Arial"/>
          <w:sz w:val="24"/>
          <w:szCs w:val="24"/>
        </w:rPr>
        <w:t xml:space="preserve">... К</w:t>
      </w:r>
      <w:r>
        <w:rPr>
          <w:rFonts w:ascii="Arial" w:cs="Arial" w:eastAsia="Arial" w:hAnsi="Arial"/>
          <w:sz w:val="24"/>
          <w:szCs w:val="24"/>
        </w:rPr>
        <w:t xml:space="preserve">n</w:t>
      </w:r>
      <w:r>
        <w:rPr>
          <w:rFonts w:ascii="Arial" w:cs="Arial" w:eastAsia="Arial" w:hAnsi="Arial"/>
          <w:sz w:val="24"/>
          <w:szCs w:val="24"/>
        </w:rPr>
        <w:t xml:space="preserve"> - количество соответствующего вида (массы) мерного слитка по каждой партии мерных слитков, нереализованных на день проведения расчета.</w:t>
      </w:r>
    </w:p>
    <w:p>
      <w:pPr>
        <w:spacing w:after="120" w:before="120"/>
        <w:ind w:firstLine="567"/>
        <w:jc w:val="both"/>
      </w:pPr>
      <w:r>
        <w:rPr>
          <w:rFonts w:ascii="Arial" w:cs="Arial" w:eastAsia="Arial" w:hAnsi="Arial"/>
          <w:sz w:val="24"/>
          <w:szCs w:val="24"/>
        </w:rPr>
        <w:t xml:space="preserve">4) Комиссионная надбавка Национального банка (в процентах) в зависимости от вида (массы) мерного слитка устанавливается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3"/>
        <w:gridCol w:w="6125"/>
      </w:tblGrid>
      <w:tr>
        <w:tc>
          <w:tcPr>
            <w:tcW w:type="dxa" w:w="40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Масса слитка в граммах</w:t>
            </w:r>
          </w:p>
        </w:tc>
        <w:tc>
          <w:tcPr>
            <w:tcW w:type="dxa" w:w="61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Комиссионная надбавка, в процентах</w:t>
            </w:r>
          </w:p>
        </w:tc>
      </w:tr>
      <w:tr>
        <w:tc>
          <w:tcPr>
            <w:tcW w:type="dxa" w:w="4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4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4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4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4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31,1035</w:t>
            </w:r>
          </w:p>
        </w:tc>
        <w:tc>
          <w:tcPr>
            <w:tcW w:type="dxa" w:w="6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0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before="12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lixws3mgyf4tapdv7rokw">
        <w:r>
          <w:rPr>
            <w:rFonts w:ascii="Arial" w:cs="Arial" w:eastAsia="Arial" w:hAnsi="Arial"/>
            <w:i/>
            <w:iCs/>
            <w:color w:val="1D4ED8"/>
            <w:sz w:val="24"/>
            <w:szCs w:val="24"/>
            <w:u w:val="single"/>
          </w:rPr>
          <w:t xml:space="preserve">4 марта 2015 года № 14/1</w:t>
        </w:r>
      </w:hyperlink>
      <w:r>
        <w:rPr>
          <w:rFonts w:ascii="Arial" w:cs="Arial" w:eastAsia="Arial" w:hAnsi="Arial"/>
          <w:i/>
          <w:iCs/>
          <w:sz w:val="24"/>
          <w:szCs w:val="24"/>
        </w:rPr>
        <w:t xml:space="preserve">, </w:t>
      </w:r>
      <w:hyperlink w:history="1" r:id="rIdlfms2q1iw95o_h56kf9c3">
        <w:r>
          <w:rPr>
            <w:rFonts w:ascii="Arial" w:cs="Arial" w:eastAsia="Arial" w:hAnsi="Arial"/>
            <w:i/>
            <w:iCs/>
            <w:color w:val="1D4ED8"/>
            <w:sz w:val="24"/>
            <w:szCs w:val="24"/>
            <w:u w:val="single"/>
          </w:rPr>
          <w:t xml:space="preserve">11 октября 2017 года № 2017-П-13/44-2</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sz w:val="24"/>
          <w:szCs w:val="24"/>
        </w:rPr>
        <w:t xml:space="preserve">8. Масса мерных слитков в граммах пересчитывается в массу тройских унций по следующей формуле:</w:t>
      </w:r>
    </w:p>
    <w:p>
      <w:pPr>
        <w:spacing w:after="120" w:before="120"/>
        <w:ind w:firstLine="567"/>
        <w:jc w:val="both"/>
      </w:pPr>
      <w:r>
        <w:rPr>
          <w:rFonts w:ascii="Arial" w:cs="Arial" w:eastAsia="Arial" w:hAnsi="Arial"/>
          <w:sz w:val="24"/>
          <w:szCs w:val="24"/>
        </w:rPr>
        <w:t xml:space="preserve">Масса слитка в унциях = масса слитка в граммах/одна тройская унция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4"/>
        <w:gridCol w:w="3316"/>
        <w:gridCol w:w="3868"/>
      </w:tblGrid>
      <w:tr>
        <w:tc>
          <w:tcPr>
            <w:tcW w:type="dxa" w:w="29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Масса слитка в граммах</w:t>
            </w:r>
          </w:p>
        </w:tc>
        <w:tc>
          <w:tcPr>
            <w:tcW w:type="dxa" w:w="33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Одна тройская унция, в г</w:t>
            </w:r>
          </w:p>
        </w:tc>
        <w:tc>
          <w:tcPr>
            <w:tcW w:type="dxa" w:w="38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слитка в тройских унциях</w:t>
            </w:r>
          </w:p>
        </w:tc>
      </w:tr>
      <w:tr>
        <w:tc>
          <w:tcPr>
            <w:tcW w:type="dxa" w:w="2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1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31,1035</w:t>
            </w:r>
          </w:p>
        </w:tc>
        <w:tc>
          <w:tcPr>
            <w:tcW w:type="dxa" w:w="3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r>
      <w:tr>
        <w:tc>
          <w:tcPr>
            <w:tcW w:type="dxa" w:w="2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vMerge w:val="continue"/>
            <w:tcBorders>
              <w:top w:val="none" w:color="auto" w:sz="0"/>
              <w:left w:val="none" w:color="auto" w:sz="0"/>
              <w:bottom w:val="single" w:color="CBBF9E" w:sz="4"/>
              <w:right w:val="single" w:color="CBBF9E" w:sz="4"/>
            </w:tcBorders>
          </w:tcPr>
          <w:p/>
        </w:tc>
        <w:tc>
          <w:tcPr>
            <w:tcW w:type="dxa" w:w="3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r>
      <w:tr>
        <w:tc>
          <w:tcPr>
            <w:tcW w:type="dxa" w:w="2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vMerge w:val="continue"/>
            <w:tcBorders>
              <w:top w:val="none" w:color="auto" w:sz="0"/>
              <w:left w:val="none" w:color="auto" w:sz="0"/>
              <w:bottom w:val="single" w:color="CBBF9E" w:sz="4"/>
              <w:right w:val="single" w:color="CBBF9E" w:sz="4"/>
            </w:tcBorders>
          </w:tcPr>
          <w:p/>
        </w:tc>
        <w:tc>
          <w:tcPr>
            <w:tcW w:type="dxa" w:w="3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w:t>
            </w:r>
          </w:p>
        </w:tc>
      </w:tr>
      <w:tr>
        <w:tc>
          <w:tcPr>
            <w:tcW w:type="dxa" w:w="2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vMerge w:val="continue"/>
            <w:tcBorders>
              <w:top w:val="none" w:color="auto" w:sz="0"/>
              <w:left w:val="none" w:color="auto" w:sz="0"/>
              <w:bottom w:val="single" w:color="CBBF9E" w:sz="4"/>
              <w:right w:val="single" w:color="CBBF9E" w:sz="4"/>
            </w:tcBorders>
          </w:tcPr>
          <w:p/>
        </w:tc>
        <w:tc>
          <w:tcPr>
            <w:tcW w:type="dxa" w:w="3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0,322</w:t>
            </w:r>
          </w:p>
        </w:tc>
      </w:tr>
      <w:tr>
        <w:tc>
          <w:tcPr>
            <w:tcW w:type="dxa" w:w="2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31,1035</w:t>
            </w:r>
          </w:p>
        </w:tc>
        <w:tc>
          <w:tcPr>
            <w:vMerge w:val="continue"/>
            <w:tcBorders>
              <w:top w:val="none" w:color="auto" w:sz="0"/>
              <w:left w:val="none" w:color="auto" w:sz="0"/>
              <w:bottom w:val="single" w:color="CBBF9E" w:sz="4"/>
              <w:right w:val="single" w:color="CBBF9E" w:sz="4"/>
            </w:tcBorders>
          </w:tcPr>
          <w:p/>
        </w:tc>
        <w:tc>
          <w:tcPr>
            <w:tcW w:type="dxa" w:w="3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9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w:t>
            </w:r>
          </w:p>
        </w:tc>
        <w:tc>
          <w:tcPr>
            <w:vMerge w:val="continue"/>
            <w:tcBorders>
              <w:top w:val="none" w:color="auto" w:sz="0"/>
              <w:left w:val="none" w:color="auto" w:sz="0"/>
              <w:bottom w:val="single" w:color="CBBF9E" w:sz="4"/>
              <w:right w:val="single" w:color="CBBF9E" w:sz="4"/>
            </w:tcBorders>
          </w:tcPr>
          <w:p/>
        </w:tc>
        <w:tc>
          <w:tcPr>
            <w:tcW w:type="dxa" w:w="38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3,215</w:t>
            </w:r>
          </w:p>
        </w:tc>
      </w:tr>
    </w:tbl>
    <w:p>
      <w:pPr>
        <w:spacing w:after="60" w:before="120"/>
        <w:ind w:firstLine="567"/>
        <w:jc w:val="both"/>
      </w:pPr>
      <w:r>
        <w:rPr>
          <w:rFonts w:ascii="Arial" w:cs="Arial" w:eastAsia="Arial" w:hAnsi="Arial"/>
          <w:sz w:val="24"/>
          <w:szCs w:val="24"/>
        </w:rPr>
        <w:t xml:space="preserve">9. Расчет и установление цены продажи мерных слитков осуществляется согласно </w:t>
      </w:r>
      <w:hyperlink w:history="1" r:id="rIdesijwvpydccpbztt4eaca">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w:t>
      </w:r>
    </w:p>
    <w:p>
      <w:pPr>
        <w:spacing w:after="120" w:before="120"/>
        <w:jc w:val="both"/>
      </w:pPr>
      <w:r>
        <w:rPr>
          <w:rFonts w:ascii="Arial" w:cs="Arial" w:eastAsia="Arial" w:hAnsi="Arial"/>
          <w:sz w:val="24"/>
          <w:szCs w:val="24"/>
        </w:rPr>
        <w:t xml:space="preserve">9-1. Цена продажи мерного слитка из золота/серебра соответствующего наименования (массы) определяется исходя из последнего установленного фиксинга на LBMA и официального курса национальной валюты Кыргызской Республики (сом) к доллару США с учетом средних затрат Национального банка. Если расчетная цена продажи на основе показателей фиксинга и курса доллара будет ниже установленной себестоимости мерного слитка из золота/серебра соответствующего наименования (массы), то цена продажи определяется на уровне установленной себестоимости.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gpzh1lonzpxea32eampio">
        <w:r>
          <w:rPr>
            <w:rFonts w:ascii="Arial" w:cs="Arial" w:eastAsia="Arial" w:hAnsi="Arial"/>
            <w:color w:val="1D4ED8"/>
            <w:sz w:val="24"/>
            <w:szCs w:val="24"/>
            <w:u w:val="single"/>
          </w:rPr>
          <w:t xml:space="preserve">26 сентября 2018 года № 2018-П-13/40-6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Себестоимость мерных слитков из золота/серебра соответствующего наименования (массы) каждой партии рассчитывается исходя из стоимости драгоценного металла, используемого для изготовления мерных слитков и затрат на единицу мерного слитка, включающих затраты на изготовление мерных слитков, затраты на упаковку, транспортные расходы, расходы на страховку, налоги и таможенное оформление. Себестоимость мерных слитков соответствующего наименования (массы) устанавливается на основании распоряжения Национального банка, а значения средних затрат на единицу мерного слитка соответствующего наименования (массы) утверждаются начальником управления денежной наличности и действуют до момента утверждения новых значений.</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oipwfwrw0-l6bjqyd7t9p">
        <w:r>
          <w:rPr>
            <w:rFonts w:ascii="Arial" w:cs="Arial" w:eastAsia="Arial" w:hAnsi="Arial"/>
            <w:color w:val="1D4ED8"/>
            <w:sz w:val="24"/>
            <w:szCs w:val="24"/>
            <w:u w:val="single"/>
          </w:rPr>
          <w:t xml:space="preserve">26 сентября 2018 года № 2018-П-13/40-6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При изготовлении новой партии мерных слитков из золота/серебра соответствующего наименования (массы) расчет и установление значения себестоимости и средних затрат на единицу мерного слитка из золота/серебра соответствующего наименования (массы) производится по средневзвешенной стоимости мерных слитков из золота/серебра соответствующего наименования (массы) с учетом остатков всех партий мерных слитков из золота/серебра данного наименования (массы), находящихся в кассах Национального банка.</w:t>
      </w:r>
    </w:p>
    <w:p>
      <w:pPr>
        <w:spacing w:after="120"/>
        <w:jc w:val="both"/>
      </w:pPr>
      <w:r>
        <w:rPr>
          <w:rFonts w:ascii="Arial" w:cs="Arial" w:eastAsia="Arial" w:hAnsi="Arial"/>
          <w:sz w:val="24"/>
          <w:szCs w:val="24"/>
        </w:rPr>
        <w:t xml:space="preserve">При повторной реализации с учетом обратно выкупленных мерных слитков из золота/серебра значение себестоимости на единицу мерного слитка из золота/серебра соответствующего наименования (массы) рассчитывается и устанавливается по средневзвешенной стоимости мерных слитков из золота/серебра соответствующего наименования (массы) с учетом остатков всех партий мерных слитков из золота/серебра данного наименования (массы), находящихся в кассах Национального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brtztzmpcp30voaqejo3a">
        <w:r>
          <w:rPr>
            <w:rFonts w:ascii="Arial" w:cs="Arial" w:eastAsia="Arial" w:hAnsi="Arial"/>
            <w:color w:val="1D4ED8"/>
            <w:sz w:val="24"/>
            <w:szCs w:val="24"/>
            <w:u w:val="single"/>
          </w:rPr>
          <w:t xml:space="preserve">26 сентября 2018 года № 2018-П-13/40-6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Значения средних затрат на единицу мерного слитка из золота/серебра соответствующего наименования (массы) устанавливаются исходя из количества всех партий мерных слитков из золота/серебра данного наименования (массы), находящихся в кассах Национального банка, и количества вновь поступившей партии мерных слитков из золота/серебра данного наименования (массы).</w:t>
      </w:r>
    </w:p>
    <w:p>
      <w:pPr>
        <w:spacing w:after="120"/>
        <w:jc w:val="both"/>
      </w:pPr>
      <w:r>
        <w:rPr>
          <w:rFonts w:ascii="Arial" w:cs="Arial" w:eastAsia="Arial" w:hAnsi="Arial"/>
          <w:sz w:val="24"/>
          <w:szCs w:val="24"/>
        </w:rPr>
        <w:t xml:space="preserve">Значения себестоимости мерных слитков из золота/серебра соответствующего наименования (массы) определяются методом средневзвешенной стоимости остатков мерных слитков из золота/серебра соответствующего наименования (массы) и средневзвешенной стоимости новой партии мерных слитков из золота/серебра соответствующего наименования (массы) либо количества обратно выкупленных мерных слитков из золота/серебра соответствующего наименования (массы) по следующей формуле:</w:t>
      </w:r>
    </w:p>
    <w:p>
      <w:pPr>
        <w:spacing w:after="120"/>
        <w:jc w:val="both"/>
      </w:pPr>
      <w:r>
        <w:rPr>
          <w:rFonts w:ascii="Arial" w:cs="Arial" w:eastAsia="Arial" w:hAnsi="Arial"/>
          <w:sz w:val="24"/>
          <w:szCs w:val="24"/>
        </w:rPr>
        <w:t xml:space="preserve">Scp = ((S1 * K1) + (S2 * K2)) / Ko, </w:t>
      </w:r>
      <w:r>
        <w:rPr>
          <w:rFonts w:ascii="Arial" w:cs="Arial" w:eastAsia="Arial" w:hAnsi="Arial"/>
          <w:sz w:val="24"/>
          <w:szCs w:val="24"/>
        </w:rPr>
        <w:t xml:space="preserve">где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Scp - средневзвешенная стоимость (себестоимость) мерных слитков соответствующего наименования (массы);</w:t>
      </w:r>
    </w:p>
    <w:p>
      <w:pPr>
        <w:spacing w:after="120"/>
        <w:jc w:val="both"/>
      </w:pPr>
      <w:r>
        <w:rPr>
          <w:rFonts w:ascii="Arial" w:cs="Arial" w:eastAsia="Arial" w:hAnsi="Arial"/>
          <w:sz w:val="24"/>
          <w:szCs w:val="24"/>
        </w:rPr>
        <w:t xml:space="preserve">S</w:t>
      </w:r>
      <w:r>
        <w:rPr>
          <w:rFonts w:ascii="Arial" w:cs="Arial" w:eastAsia="Arial" w:hAnsi="Arial"/>
          <w:sz w:val="24"/>
          <w:szCs w:val="24"/>
        </w:rPr>
        <w:t xml:space="preserve">1 - средняя стоимость остатков мерных слитков соответствующего наименования (массы);</w:t>
      </w:r>
    </w:p>
    <w:p>
      <w:pPr>
        <w:spacing w:after="120"/>
        <w:jc w:val="both"/>
      </w:pPr>
      <w:r>
        <w:rPr>
          <w:rFonts w:ascii="Arial" w:cs="Arial" w:eastAsia="Arial" w:hAnsi="Arial"/>
          <w:sz w:val="24"/>
          <w:szCs w:val="24"/>
        </w:rPr>
        <w:t xml:space="preserve">K</w:t>
      </w:r>
      <w:r>
        <w:rPr>
          <w:rFonts w:ascii="Arial" w:cs="Arial" w:eastAsia="Arial" w:hAnsi="Arial"/>
          <w:sz w:val="24"/>
          <w:szCs w:val="24"/>
        </w:rPr>
        <w:t xml:space="preserve">1 - количество остатков мерных слитков соответствующего наименования (массы);</w:t>
      </w:r>
    </w:p>
    <w:p>
      <w:pPr>
        <w:spacing w:after="120"/>
        <w:jc w:val="both"/>
      </w:pPr>
      <w:r>
        <w:rPr>
          <w:rFonts w:ascii="Arial" w:cs="Arial" w:eastAsia="Arial" w:hAnsi="Arial"/>
          <w:sz w:val="24"/>
          <w:szCs w:val="24"/>
        </w:rPr>
        <w:t xml:space="preserve">S</w:t>
      </w:r>
      <w:r>
        <w:rPr>
          <w:rFonts w:ascii="Arial" w:cs="Arial" w:eastAsia="Arial" w:hAnsi="Arial"/>
          <w:sz w:val="24"/>
          <w:szCs w:val="24"/>
        </w:rPr>
        <w:t xml:space="preserve">2 - средняя стоимость новой партии мерных слитков либо обратно выкупленных мерных слитков соответствующего наименования (массы);</w:t>
      </w:r>
    </w:p>
    <w:p>
      <w:pPr>
        <w:spacing w:after="120"/>
        <w:jc w:val="both"/>
      </w:pPr>
      <w:r>
        <w:rPr>
          <w:rFonts w:ascii="Arial" w:cs="Arial" w:eastAsia="Arial" w:hAnsi="Arial"/>
          <w:sz w:val="24"/>
          <w:szCs w:val="24"/>
        </w:rPr>
        <w:t xml:space="preserve">K</w:t>
      </w:r>
      <w:r>
        <w:rPr>
          <w:rFonts w:ascii="Arial" w:cs="Arial" w:eastAsia="Arial" w:hAnsi="Arial"/>
          <w:sz w:val="24"/>
          <w:szCs w:val="24"/>
        </w:rPr>
        <w:t xml:space="preserve">2 - количество новой партии мерных слитков либо обратно выкупленных мерных слитков соответствующего наименования (массы);</w:t>
      </w:r>
    </w:p>
    <w:p>
      <w:pPr>
        <w:spacing w:after="120"/>
        <w:jc w:val="both"/>
      </w:pPr>
      <w:r>
        <w:rPr>
          <w:rFonts w:ascii="Arial" w:cs="Arial" w:eastAsia="Arial" w:hAnsi="Arial"/>
          <w:sz w:val="24"/>
          <w:szCs w:val="24"/>
        </w:rPr>
        <w:t xml:space="preserve">Ko</w:t>
      </w:r>
      <w:r>
        <w:rPr>
          <w:rFonts w:ascii="Arial" w:cs="Arial" w:eastAsia="Arial" w:hAnsi="Arial"/>
          <w:sz w:val="24"/>
          <w:szCs w:val="24"/>
        </w:rPr>
        <w:t xml:space="preserve"> - общее количество мерных слитков соответствующего наименования (массы), предназначенных для продажи.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f9ytkvmymbmzsp94pxahs">
        <w:r>
          <w:rPr>
            <w:rFonts w:ascii="Arial" w:cs="Arial" w:eastAsia="Arial" w:hAnsi="Arial"/>
            <w:color w:val="1D4ED8"/>
            <w:sz w:val="24"/>
            <w:szCs w:val="24"/>
            <w:u w:val="single"/>
          </w:rPr>
          <w:t xml:space="preserve">26 сентября 2018 года № 2018-П-13/40-6</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4. Порядок установления цены обратного выкупа мерных слитков</w:t>
      </w:r>
    </w:p>
    <w:p>
      <w:pPr>
        <w:spacing w:after="60"/>
        <w:ind w:firstLine="567"/>
        <w:jc w:val="both"/>
      </w:pPr>
      <w:r>
        <w:rPr>
          <w:rFonts w:ascii="Arial" w:cs="Arial" w:eastAsia="Arial" w:hAnsi="Arial"/>
          <w:sz w:val="24"/>
          <w:szCs w:val="24"/>
        </w:rPr>
        <w:t xml:space="preserve">13. Цена обратного выкупа мерных слитков определяется на основе следующих показателей:</w:t>
      </w:r>
    </w:p>
    <w:p>
      <w:pPr>
        <w:spacing w:after="60"/>
        <w:ind w:firstLine="567"/>
        <w:jc w:val="both"/>
      </w:pPr>
      <w:r>
        <w:rPr>
          <w:rFonts w:ascii="Arial" w:cs="Arial" w:eastAsia="Arial" w:hAnsi="Arial"/>
          <w:sz w:val="24"/>
          <w:szCs w:val="24"/>
        </w:rPr>
        <w:t xml:space="preserve">1) Цена золота (серебра) за 1 тройскую унцию по вечернему фиксингу - в долларах США, установленному LBMA на предыдущий рабочий день, по официальному курсу национальной валюты Кыргызской Республики (сом) к доллару США.</w:t>
      </w:r>
    </w:p>
    <w:p>
      <w:pPr>
        <w:spacing w:after="60"/>
        <w:ind w:firstLine="567"/>
        <w:jc w:val="both"/>
      </w:pPr>
      <w:r>
        <w:rPr>
          <w:rFonts w:ascii="Arial" w:cs="Arial" w:eastAsia="Arial" w:hAnsi="Arial"/>
          <w:sz w:val="24"/>
          <w:szCs w:val="24"/>
        </w:rPr>
        <w:t xml:space="preserve">2) Масса мерных слитков - в тройских унциях.</w:t>
      </w:r>
    </w:p>
    <w:p>
      <w:pPr>
        <w:spacing w:after="60"/>
        <w:ind w:firstLine="567"/>
        <w:jc w:val="both"/>
      </w:pPr>
      <w:r>
        <w:rPr>
          <w:rFonts w:ascii="Arial" w:cs="Arial" w:eastAsia="Arial" w:hAnsi="Arial"/>
          <w:sz w:val="24"/>
          <w:szCs w:val="24"/>
        </w:rPr>
        <w:t xml:space="preserve">3) Средние затраты в национальной валюте Кыргызской Республики (сом) на единицу соответствующего вида (массы) мерного слитка (без стоимости металла), которые определяются по формуле согласно подпункта 3 пункта 7 настоящей Инструкции.</w:t>
      </w:r>
    </w:p>
    <w:p>
      <w:pPr>
        <w:spacing w:after="60"/>
        <w:ind w:firstLine="567"/>
        <w:jc w:val="both"/>
      </w:pPr>
      <w:r>
        <w:rPr>
          <w:rFonts w:ascii="Arial" w:cs="Arial" w:eastAsia="Arial" w:hAnsi="Arial"/>
          <w:sz w:val="24"/>
          <w:szCs w:val="24"/>
        </w:rPr>
        <w:t xml:space="preserve">14. Расчет и установление цены обратного выкупа производится согласно </w:t>
      </w:r>
      <w:hyperlink w:history="1" r:id="rIddktj99s-2fxzpe7vwwgjd">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15. Округление значений цен продажи и обратного выкупа мерных слитков производится в порядке, предусмотренном </w:t>
      </w:r>
      <w:hyperlink w:history="1" r:id="rIdzycxtiznmoj6hnv8nrfe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"О Порядке округления сумм тыйынового остатка при наличных расчетов в Кыргызской Республике" от 13 октября 2011 года № 631/35/10.</w:t>
      </w:r>
    </w:p>
    <w:p>
      <w:pPr>
        <w:spacing w:after="60"/>
        <w:ind w:firstLine="567"/>
        <w:jc w:val="both"/>
      </w:pPr>
      <w:r>
        <w:rPr>
          <w:rFonts w:ascii="Arial" w:cs="Arial" w:eastAsia="Arial" w:hAnsi="Arial"/>
          <w:sz w:val="24"/>
          <w:szCs w:val="24"/>
        </w:rPr>
        <w:t xml:space="preserve">16. Контроль за исполнением расчетов по установлению цен продажи и обратного выкупа возлагается на начальника Управления денежной наличности.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Инструкции по установлению Национальным банком Кыргызской Республики цены продажи и цены обратного выкупа аффинированных мерных слитков из золота и серебра, выпускаемых Национальным банком Кыргызской Республики</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РАСЧЕТ
  и установление цены продажи и мерных слитков на __ _____________ 20_ г.</w:t>
      </w:r>
    </w:p>
    <w:p>
      <w:pPr>
        <w:spacing w:after="200" w:before="200"/>
        <w:jc w:val="center"/>
      </w:pPr>
      <w:r>
        <w:rPr>
          <w:rFonts w:ascii="Arial" w:cs="Arial" w:eastAsia="Arial" w:hAnsi="Arial"/>
          <w:i/>
          <w:iCs/>
          <w:sz w:val="24"/>
          <w:szCs w:val="24"/>
        </w:rPr>
        <w:t xml:space="preserve">(В редакции постановления Правления Нацбанка КР от </w:t>
      </w:r>
      <w:hyperlink w:history="1" r:id="rIddateqnfnp6ib4yepuv94i">
        <w:r>
          <w:rPr>
            <w:rFonts w:ascii="Arial" w:cs="Arial" w:eastAsia="Arial" w:hAnsi="Arial"/>
            <w:i/>
            <w:iCs/>
            <w:color w:val="1D4ED8"/>
            <w:sz w:val="24"/>
            <w:szCs w:val="24"/>
            <w:u w:val="single"/>
          </w:rPr>
          <w:t xml:space="preserve">26 сентября 2018 года № 2018-П-13/40-6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615"/>
        <w:gridCol w:w="889"/>
        <w:gridCol w:w="889"/>
        <w:gridCol w:w="889"/>
        <w:gridCol w:w="889"/>
        <w:gridCol w:w="711"/>
        <w:gridCol w:w="823"/>
        <w:gridCol w:w="768"/>
        <w:gridCol w:w="910"/>
        <w:gridCol w:w="839"/>
        <w:gridCol w:w="935"/>
        <w:gridCol w:w="727"/>
      </w:tblGrid>
      <w:tr>
        <w:tc>
          <w:tcPr>
            <w:tcW w:type="dxa" w:w="2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слитка в гр.</w:t>
            </w:r>
          </w:p>
        </w:tc>
        <w:tc>
          <w:tcPr>
            <w:tcW w:type="dxa" w:w="35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металла</w:t>
            </w:r>
          </w:p>
        </w:tc>
        <w:tc>
          <w:tcPr>
            <w:tcW w:type="dxa" w:w="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Средние затраты НБКР по изготов-лению слитка
 (сом, тыйын)</w:t>
            </w:r>
          </w:p>
        </w:tc>
        <w:tc>
          <w:tcPr>
            <w:tcW w:type="dxa" w:w="8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слитка без комиссии НБКР (т.е. цена обратного выкупа)
 (сом, тыйын)</w:t>
            </w:r>
          </w:p>
        </w:tc>
        <w:tc>
          <w:tcPr>
            <w:tcW w:type="dxa" w:w="7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Комисс. надбавка НБКР в %</w:t>
            </w:r>
          </w:p>
        </w:tc>
        <w:tc>
          <w:tcPr>
            <w:tcW w:type="dxa" w:w="9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Расчетная (рыночная) цена продажи слитка
 (сом, тыйын)</w:t>
            </w:r>
          </w:p>
        </w:tc>
        <w:tc>
          <w:tcPr>
            <w:tcW w:type="dxa" w:w="8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Дейст-вующая себе стоимость
 (сом, тыйын)</w:t>
            </w:r>
          </w:p>
        </w:tc>
        <w:tc>
          <w:tcPr>
            <w:tcW w:type="dxa" w:w="9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между расчетной (рыночной) ценой продажи и себестои-мостью</w:t>
            </w:r>
          </w:p>
        </w:tc>
        <w:tc>
          <w:tcPr>
            <w:tcW w:type="dxa" w:w="7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Установ-ленная цена продажи слитка
 (сом, тыйын)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слитка в унциях</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1 унц. золота/серебра веч. фиксинг LBMA на _______
 (в $)</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Офиц. курс НБКР ($/сом) на ______
 (дата)</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золота/серебра одного слитка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 1 / 31,1035</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 2 * 3 * 4</w:t>
            </w:r>
          </w:p>
        </w:tc>
        <w:tc>
          <w:tcPr>
            <w:tcW w:type="dxa" w:w="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 7 * 8 / 100 + 7</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 9 - 10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0,322</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31,1035</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3,215</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 расчете цены продажи мерных слитков применяется следующая методика расчета:</w:t>
      </w:r>
    </w:p>
    <w:p>
      <w:pPr>
        <w:spacing w:after="60"/>
        <w:ind w:firstLine="567"/>
        <w:jc w:val="both"/>
      </w:pPr>
      <w:r>
        <w:rPr>
          <w:rFonts w:ascii="Arial" w:cs="Arial" w:eastAsia="Arial" w:hAnsi="Arial"/>
          <w:sz w:val="24"/>
          <w:szCs w:val="24"/>
        </w:rPr>
        <w:t xml:space="preserve">Графа 1 - масса мерных слитков в граммах;</w:t>
      </w:r>
    </w:p>
    <w:p>
      <w:pPr>
        <w:spacing w:after="60"/>
        <w:ind w:firstLine="567"/>
        <w:jc w:val="both"/>
      </w:pPr>
      <w:r>
        <w:rPr>
          <w:rFonts w:ascii="Arial" w:cs="Arial" w:eastAsia="Arial" w:hAnsi="Arial"/>
          <w:sz w:val="24"/>
          <w:szCs w:val="24"/>
        </w:rPr>
        <w:t xml:space="preserve">Графа 2 - масса мерных слитков в тройских унциях;</w:t>
      </w:r>
    </w:p>
    <w:p>
      <w:pPr>
        <w:spacing w:after="60"/>
        <w:ind w:firstLine="567"/>
        <w:jc w:val="both"/>
      </w:pPr>
      <w:r>
        <w:rPr>
          <w:rFonts w:ascii="Arial" w:cs="Arial" w:eastAsia="Arial" w:hAnsi="Arial"/>
          <w:sz w:val="24"/>
          <w:szCs w:val="24"/>
        </w:rPr>
        <w:t xml:space="preserve">Графа 3 - цена мерных слитков за 1 унцию по вечернему фиксингу, установленному LBMA на предыдущий рабочий день;</w:t>
      </w:r>
    </w:p>
    <w:p>
      <w:pPr>
        <w:spacing w:after="60"/>
        <w:ind w:firstLine="567"/>
        <w:jc w:val="both"/>
      </w:pPr>
      <w:r>
        <w:rPr>
          <w:rFonts w:ascii="Arial" w:cs="Arial" w:eastAsia="Arial" w:hAnsi="Arial"/>
          <w:sz w:val="24"/>
          <w:szCs w:val="24"/>
        </w:rPr>
        <w:t xml:space="preserve">Графа 4 - официальный курс в национальной валюте Кыргызской Республики (сом) по отношению к доллару США;</w:t>
      </w:r>
    </w:p>
    <w:p>
      <w:pPr>
        <w:spacing w:after="60"/>
        <w:ind w:firstLine="567"/>
        <w:jc w:val="both"/>
      </w:pPr>
      <w:r>
        <w:rPr>
          <w:rFonts w:ascii="Arial" w:cs="Arial" w:eastAsia="Arial" w:hAnsi="Arial"/>
          <w:sz w:val="24"/>
          <w:szCs w:val="24"/>
        </w:rPr>
        <w:t xml:space="preserve">Графа 5 - цена золота/серебра = графа 2 * графа 3 * графа 4;</w:t>
      </w:r>
    </w:p>
    <w:p>
      <w:pPr>
        <w:spacing w:after="60"/>
        <w:ind w:firstLine="567"/>
        <w:jc w:val="both"/>
      </w:pPr>
      <w:r>
        <w:rPr>
          <w:rFonts w:ascii="Arial" w:cs="Arial" w:eastAsia="Arial" w:hAnsi="Arial"/>
          <w:sz w:val="24"/>
          <w:szCs w:val="24"/>
        </w:rPr>
        <w:t xml:space="preserve">Графа 6 - средние затраты на единицу мерного слитка (без стоимости металла) в сомах, рассчитанные согласно пп.3 п.7. настоящей Инструкции;</w:t>
      </w:r>
    </w:p>
    <w:p>
      <w:pPr>
        <w:spacing w:after="60"/>
        <w:ind w:firstLine="567"/>
        <w:jc w:val="both"/>
      </w:pPr>
      <w:r>
        <w:rPr>
          <w:rFonts w:ascii="Arial" w:cs="Arial" w:eastAsia="Arial" w:hAnsi="Arial"/>
          <w:sz w:val="24"/>
          <w:szCs w:val="24"/>
        </w:rPr>
        <w:t xml:space="preserve">Графа 7 - цена слитка без комиссии = графа 5 + графа 6;</w:t>
      </w:r>
    </w:p>
    <w:p>
      <w:pPr>
        <w:spacing w:after="60"/>
        <w:ind w:firstLine="567"/>
        <w:jc w:val="both"/>
      </w:pPr>
      <w:r>
        <w:rPr>
          <w:rFonts w:ascii="Arial" w:cs="Arial" w:eastAsia="Arial" w:hAnsi="Arial"/>
          <w:sz w:val="24"/>
          <w:szCs w:val="24"/>
        </w:rPr>
        <w:t xml:space="preserve">Графа 8 - комиссионная надбавка в процентах;</w:t>
      </w:r>
    </w:p>
    <w:p>
      <w:pPr>
        <w:spacing w:after="60"/>
        <w:ind w:firstLine="567"/>
        <w:jc w:val="both"/>
      </w:pPr>
      <w:r>
        <w:rPr>
          <w:rFonts w:ascii="Arial" w:cs="Arial" w:eastAsia="Arial" w:hAnsi="Arial"/>
          <w:sz w:val="24"/>
          <w:szCs w:val="24"/>
        </w:rPr>
        <w:t xml:space="preserve">Графа 9 - расчетная (рыночная) цена продажи слитка = графа 7 * графа 8 / 100 + графа 7;</w:t>
      </w:r>
    </w:p>
    <w:p>
      <w:pPr>
        <w:spacing w:after="60"/>
        <w:ind w:firstLine="567"/>
        <w:jc w:val="both"/>
      </w:pPr>
      <w:r>
        <w:rPr>
          <w:rFonts w:ascii="Arial" w:cs="Arial" w:eastAsia="Arial" w:hAnsi="Arial"/>
          <w:sz w:val="24"/>
          <w:szCs w:val="24"/>
        </w:rPr>
        <w:t xml:space="preserve">Графа 10 - себестоимость мерных слитков;</w:t>
      </w:r>
    </w:p>
    <w:p>
      <w:pPr>
        <w:spacing w:after="60"/>
        <w:ind w:firstLine="567"/>
        <w:jc w:val="both"/>
      </w:pPr>
      <w:r>
        <w:rPr>
          <w:rFonts w:ascii="Arial" w:cs="Arial" w:eastAsia="Arial" w:hAnsi="Arial"/>
          <w:sz w:val="24"/>
          <w:szCs w:val="24"/>
        </w:rPr>
        <w:t xml:space="preserve">Графа 11 - графа 9 - графа 10;</w:t>
      </w:r>
    </w:p>
    <w:p>
      <w:pPr>
        <w:spacing w:after="60"/>
        <w:ind w:firstLine="567"/>
        <w:jc w:val="both"/>
      </w:pPr>
      <w:r>
        <w:rPr>
          <w:rFonts w:ascii="Arial" w:cs="Arial" w:eastAsia="Arial" w:hAnsi="Arial"/>
          <w:sz w:val="24"/>
          <w:szCs w:val="24"/>
        </w:rPr>
        <w:t xml:space="preserve">Графа 12 - установленная цена продажи слитка равна графе 9, но если себестоимость слитка окажется ниже расчетной (рыночной) цены, то в графе 12 будет установлена цена продажи слитка из графы 10.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Инструкции по установлению Национальным банком Кыргызской Республики цены продажи и цены обратного выкупа аффинированных мерных слитков из золота и серебра, выпускаемых Национальным банком Кыргызской Республики</w:t>
      </w:r>
    </w:p>
    <w:p>
      <w:pPr>
        <w:spacing w:after="400" w:before="400"/>
        <w:jc w:val="center"/>
      </w:pPr>
      <w:r>
        <w:rPr>
          <w:rFonts w:ascii="Arial" w:cs="Arial" w:eastAsia="Arial" w:hAnsi="Arial"/>
          <w:b/>
          <w:bCs/>
          <w:sz w:val="32"/>
          <w:szCs w:val="32"/>
        </w:rPr>
        <w:t xml:space="preserve">РАСЧЕТ
 и установление цены обратного выкупа мерного слитка
 на __ __________ 20__ г.</w:t>
      </w:r>
    </w:p>
    <w:p>
      <w:pPr>
        <w:tabs>
          <w:tab w:val="right" w:pos="10178"/>
        </w:tabs>
        <w:spacing w:after="120"/>
      </w:pPr>
      <w:r>
        <w:rPr>
          <w:rFonts w:ascii="Arial" w:cs="Arial" w:eastAsia="Arial" w:hAnsi="Arial"/>
          <w:b/>
          <w:bCs/>
          <w:sz w:val="24"/>
          <w:szCs w:val="24"/>
        </w:rPr>
        <w:t xml:space="preserve">№</w:t>
      </w:r>
      <w:r>
        <w:rPr>
          <w:rFonts w:ascii="Arial" w:cs="Arial" w:eastAsia="Arial" w:hAnsi="Arial"/>
          <w:sz w:val="24"/>
          <w:szCs w:val="24"/>
        </w:rPr>
        <w:t xml:space="preserve">	</w:t>
      </w:r>
      <w:r>
        <w:rPr>
          <w:rFonts w:ascii="Arial" w:cs="Arial" w:eastAsia="Arial" w:hAnsi="Arial"/>
          <w:b/>
          <w:bCs/>
          <w:sz w:val="24"/>
          <w:szCs w:val="24"/>
        </w:rPr>
        <w:t xml:space="preserve">Цена металла</w:t>
      </w:r>
    </w:p>
    <w:p>
      <w:pPr>
        <w:tabs>
          <w:tab w:val="right" w:pos="10178"/>
        </w:tabs>
        <w:spacing w:after="120"/>
      </w:pPr>
      <w:r>
        <w:rPr>
          <w:rFonts w:ascii="Arial" w:cs="Arial" w:eastAsia="Arial" w:hAnsi="Arial"/>
          <w:b/>
          <w:bCs/>
          <w:sz w:val="24"/>
          <w:szCs w:val="24"/>
        </w:rPr>
        <w:t xml:space="preserve">Масса слитка в унциях</w:t>
      </w:r>
      <w:r>
        <w:rPr>
          <w:rFonts w:ascii="Arial" w:cs="Arial" w:eastAsia="Arial" w:hAnsi="Arial"/>
          <w:sz w:val="24"/>
          <w:szCs w:val="24"/>
        </w:rPr>
        <w:t xml:space="preserve">	</w:t>
      </w:r>
      <w:r>
        <w:rPr>
          <w:rFonts w:ascii="Arial" w:cs="Arial" w:eastAsia="Arial" w:hAnsi="Arial"/>
          <w:b/>
          <w:bCs/>
          <w:sz w:val="24"/>
          <w:szCs w:val="24"/>
        </w:rPr>
        <w:t xml:space="preserve">Цена выкупа слитка
 (сом, тыйын)</w:t>
      </w:r>
    </w:p>
    <w:p>
      <w:pPr>
        <w:tabs>
          <w:tab w:val="right" w:pos="10178"/>
        </w:tabs>
        <w:spacing w:after="120"/>
      </w:pPr>
      <w:r>
        <w:rPr>
          <w:rFonts w:ascii="Arial" w:cs="Arial" w:eastAsia="Arial" w:hAnsi="Arial"/>
          <w:sz w:val="24"/>
          <w:szCs w:val="24"/>
        </w:rPr>
        <w:t xml:space="preserve">А</w:t>
      </w:r>
      <w:r>
        <w:rPr>
          <w:rFonts w:ascii="Arial" w:cs="Arial" w:eastAsia="Arial" w:hAnsi="Arial"/>
          <w:sz w:val="24"/>
          <w:szCs w:val="24"/>
        </w:rPr>
        <w:t xml:space="preserve">	</w:t>
      </w:r>
      <w:r>
        <w:rPr>
          <w:rFonts w:ascii="Arial" w:cs="Arial" w:eastAsia="Arial" w:hAnsi="Arial"/>
          <w:sz w:val="24"/>
          <w:szCs w:val="24"/>
        </w:rPr>
        <w:t xml:space="preserve">6=2×3×4+5</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0,032</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0,064</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0,161</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0,322</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1,000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3,215</w:t>
      </w:r>
    </w:p>
    <w:p>
      <w:pPr>
        <w:spacing w:after="60" w:before="120"/>
        <w:ind w:firstLine="567"/>
        <w:jc w:val="both"/>
      </w:pPr>
      <w:r>
        <w:rPr>
          <w:rFonts w:ascii="Arial" w:cs="Arial" w:eastAsia="Arial" w:hAnsi="Arial"/>
          <w:sz w:val="24"/>
          <w:szCs w:val="24"/>
        </w:rPr>
        <w:t xml:space="preserve">При расчете цены обратного выкупа мерных слитков применяется следующая методика расчета:</w:t>
      </w:r>
    </w:p>
    <w:p>
      <w:pPr>
        <w:spacing w:after="60"/>
        <w:ind w:firstLine="567"/>
        <w:jc w:val="both"/>
      </w:pPr>
      <w:r>
        <w:rPr>
          <w:rFonts w:ascii="Arial" w:cs="Arial" w:eastAsia="Arial" w:hAnsi="Arial"/>
          <w:sz w:val="24"/>
          <w:szCs w:val="24"/>
        </w:rPr>
        <w:t xml:space="preserve">Графа 1 - масса мерных слитков в граммах;</w:t>
      </w:r>
    </w:p>
    <w:p>
      <w:pPr>
        <w:spacing w:after="60"/>
        <w:ind w:firstLine="567"/>
        <w:jc w:val="both"/>
      </w:pPr>
      <w:r>
        <w:rPr>
          <w:rFonts w:ascii="Arial" w:cs="Arial" w:eastAsia="Arial" w:hAnsi="Arial"/>
          <w:sz w:val="24"/>
          <w:szCs w:val="24"/>
        </w:rPr>
        <w:t xml:space="preserve">Графа 2 - масса мерных слитков в тройских унциях;</w:t>
      </w:r>
    </w:p>
    <w:p>
      <w:pPr>
        <w:spacing w:after="60"/>
        <w:ind w:firstLine="567"/>
        <w:jc w:val="both"/>
      </w:pPr>
      <w:r>
        <w:rPr>
          <w:rFonts w:ascii="Arial" w:cs="Arial" w:eastAsia="Arial" w:hAnsi="Arial"/>
          <w:sz w:val="24"/>
          <w:szCs w:val="24"/>
        </w:rPr>
        <w:t xml:space="preserve">Графа 3 - цена мерных слитков за 1 унцию по вечернему фиксингу, установленному LBMA на предыдущий рабочий день;</w:t>
      </w:r>
    </w:p>
    <w:p>
      <w:pPr>
        <w:spacing w:after="60"/>
        <w:ind w:firstLine="567"/>
        <w:jc w:val="both"/>
      </w:pPr>
      <w:r>
        <w:rPr>
          <w:rFonts w:ascii="Arial" w:cs="Arial" w:eastAsia="Arial" w:hAnsi="Arial"/>
          <w:sz w:val="24"/>
          <w:szCs w:val="24"/>
        </w:rPr>
        <w:t xml:space="preserve">Графа 4 - официальные курс в национальной валюте Кыргызской Республики (сом) к доллару США;</w:t>
      </w:r>
    </w:p>
    <w:p>
      <w:pPr>
        <w:spacing w:after="60"/>
        <w:ind w:firstLine="567"/>
        <w:jc w:val="both"/>
      </w:pPr>
      <w:r>
        <w:rPr>
          <w:rFonts w:ascii="Arial" w:cs="Arial" w:eastAsia="Arial" w:hAnsi="Arial"/>
          <w:sz w:val="24"/>
          <w:szCs w:val="24"/>
        </w:rPr>
        <w:t xml:space="preserve">Графа 5 - средние затраты на единицу мерного слитка (без стоимости металла) в сомах, рассчитанные согласно п.п.3 п.7 настоящей Инструкции;</w:t>
      </w:r>
    </w:p>
    <w:p>
      <w:pPr>
        <w:spacing w:after="60"/>
        <w:ind w:firstLine="567"/>
        <w:jc w:val="both"/>
      </w:pPr>
      <w:r>
        <w:rPr>
          <w:rFonts w:ascii="Arial" w:cs="Arial" w:eastAsia="Arial" w:hAnsi="Arial"/>
          <w:sz w:val="24"/>
          <w:szCs w:val="24"/>
        </w:rPr>
        <w:t xml:space="preserve">Графа 6 - графа 2 × графа 3 × графа 4 + графа 5.</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9pl2wqsir2udaiaq8ezv">
      <w:r>
        <w:rPr>
          <w:rFonts w:ascii="Arial" w:cs="Arial" w:eastAsia="Arial" w:hAnsi="Arial"/>
          <w:color w:val="132D3F"/>
          <w:sz w:val="16"/>
          <w:szCs w:val="16"/>
          <w:u w:val="single"/>
        </w:rPr>
        <w:t xml:space="preserve">dalil.kg/document/302984</w:t>
      </w:r>
    </w:hyperlink>
  </w:p>
  <w:p>
    <w:pPr>
      <w:spacing w:after="0" w:before="40"/>
      <w:jc w:val="center"/>
    </w:pPr>
    <w:hyperlink w:history="1" r:id="rIdylpuyewb4hjrn6fcue1t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ecfptlogibcbxfufpac" Type="http://schemas.openxmlformats.org/officeDocument/2006/relationships/hyperlink" Target="https://dalil.kg/document/302983" TargetMode="External"/><Relationship Id="rId4vppqxasw5vmlsabugsfk" Type="http://schemas.openxmlformats.org/officeDocument/2006/relationships/hyperlink" Target="https://dalil.kg/document/302989" TargetMode="External"/><Relationship Id="rIdc3cmh-dtj9x8n_8sjfl2s" Type="http://schemas.openxmlformats.org/officeDocument/2006/relationships/hyperlink" Target="https://dalil.kg/document/800015" TargetMode="External"/><Relationship Id="rIdrvx9qe9ywklc4pokrdnz4" Type="http://schemas.openxmlformats.org/officeDocument/2006/relationships/hyperlink" Target="https://dalil.kg/document/800220" TargetMode="External"/><Relationship Id="rIdlixws3mgyf4tapdv7rokw" Type="http://schemas.openxmlformats.org/officeDocument/2006/relationships/hyperlink" Target="https://dalil.kg/document/302989" TargetMode="External"/><Relationship Id="rIdlfms2q1iw95o_h56kf9c3" Type="http://schemas.openxmlformats.org/officeDocument/2006/relationships/hyperlink" Target="https://dalil.kg/document/800015" TargetMode="External"/><Relationship Id="rIdesijwvpydccpbztt4eaca" Type="http://schemas.openxmlformats.org/officeDocument/2006/relationships/hyperlink" Target="https://dalil.kg/document/302984#p1" TargetMode="External"/><Relationship Id="rIdgpzh1lonzpxea32eampio" Type="http://schemas.openxmlformats.org/officeDocument/2006/relationships/hyperlink" Target="https://dalil.kg/document/800220" TargetMode="External"/><Relationship Id="rIdoipwfwrw0-l6bjqyd7t9p" Type="http://schemas.openxmlformats.org/officeDocument/2006/relationships/hyperlink" Target="https://dalil.kg/document/800220" TargetMode="External"/><Relationship Id="rIdbrtztzmpcp30voaqejo3a" Type="http://schemas.openxmlformats.org/officeDocument/2006/relationships/hyperlink" Target="https://dalil.kg/document/800220" TargetMode="External"/><Relationship Id="rIdf9ytkvmymbmzsp94pxahs" Type="http://schemas.openxmlformats.org/officeDocument/2006/relationships/hyperlink" Target="https://dalil.kg/document/800220" TargetMode="External"/><Relationship Id="rIddktj99s-2fxzpe7vwwgjd" Type="http://schemas.openxmlformats.org/officeDocument/2006/relationships/hyperlink" Target="https://dalil.kg/document/302984#p2" TargetMode="External"/><Relationship Id="rIdzycxtiznmoj6hnv8nrfee" Type="http://schemas.openxmlformats.org/officeDocument/2006/relationships/hyperlink" Target="https://dalil.kg/document/95404" TargetMode="External"/><Relationship Id="rIddateqnfnp6ib4yepuv94i" Type="http://schemas.openxmlformats.org/officeDocument/2006/relationships/hyperlink" Target="https://dalil.kg/document/800220"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9pl2wqsir2udaiaq8ezv" Type="http://schemas.openxmlformats.org/officeDocument/2006/relationships/hyperlink" Target="https://dalil.kg/document/302984" TargetMode="External"/><Relationship Id="rIdylpuyewb4hjrn6fcue1t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2026-10-05T06:26:33.265Z</dcterms:created>
  <dcterms:modified xsi:type="dcterms:W3CDTF">2026-10-05T06:26:33.265Z</dcterms:modified>
</cp:coreProperties>
</file>

<file path=docProps/custom.xml><?xml version="1.0" encoding="utf-8"?>
<Properties xmlns="http://schemas.openxmlformats.org/officeDocument/2006/custom-properties" xmlns:vt="http://schemas.openxmlformats.org/officeDocument/2006/docPropsVTypes"/>
</file>