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21/7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мерах воздействия, применяемых Национальным банком Кыргызской Республики к микрофинансовым организациям"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</w:t>
      </w:r>
      <w:r>
        <w:rPr>
          <w:rFonts w:ascii="Arial" w:cs="Arial" w:eastAsia="Arial" w:hAnsi="Arial"/>
          <w:sz w:val="24"/>
          <w:szCs w:val="24"/>
        </w:rPr>
        <w:t xml:space="preserve">от 19 мая 2005 года № 16/3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19.05.2005 года № 16/3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Национальным банком Кыргызской Республики к микрофинансовым организациям" от 31 января 2007 года № 5/3;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от 19 мая 2005 года № 16/3" от 29 февраля 2008 года № 9/2;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18 мая 2012 года № 19/7 и пункт 5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декабря 2012 года № 50/13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октября 2013 года № 39/4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Национального банка Кыргызской Республики" от 30 мая 2014 года № 24/10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27 ноября 2014 года № 53/8 и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20 января 2016 года № 4/5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Национального банка Кыргызской Республики" от 5 февраля 2016 года № 5/1 и пункт 8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10 февраля 2016 года № 7/2 и пункт 16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_3atg0ccx1s-rhq7x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dalil.kg/document/303039</w:t>
      </w:r>
    </w:hyperlink>
  </w:p>
  <w:p>
    <w:pPr>
      <w:spacing w:after="0" w:before="40"/>
      <w:jc w:val="center"/>
    </w:pPr>
    <w:hyperlink w:history="1" r:id="rIdkaknavb-x3j1af5mz0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_3atg0ccx1s-rhq7xrw" Type="http://schemas.openxmlformats.org/officeDocument/2006/relationships/hyperlink" Target="https://dalil.kg/document/303039" TargetMode="External"/><Relationship Id="rIdkaknavb-x3j1af5mz0s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2026-09-25T16:19:31.768Z</dcterms:created>
  <dcterms:modified xsi:type="dcterms:W3CDTF">2026-09-25T16:19:31.768Z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