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ckuhcgqnbgdzyi3aaigy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11 октября 2016 года № 154</w:t>
      </w:r>
    </w:p>
    <w:p>
      <w:pPr>
        <w:spacing w:after="400" w:before="400"/>
        <w:jc w:val="center"/>
      </w:pPr>
      <w:r>
        <w:rPr>
          <w:rFonts w:ascii="Arial" w:cs="Arial" w:eastAsia="Arial" w:hAnsi="Arial"/>
          <w:b/>
          <w:bCs/>
          <w:sz w:val="32"/>
          <w:szCs w:val="32"/>
        </w:rPr>
        <w:t xml:space="preserve">ИНСТРУКЦИЯ
 о порядке формирования, учета поступления и расходования денежных средств избирательного фонда кандидатов, политической партии при проведении выборов депутатов местных кенешей</w:t>
      </w:r>
    </w:p>
    <w:p>
      <w:pPr>
        <w:spacing w:after="200"/>
        <w:jc w:val="center"/>
      </w:pPr>
      <w:r>
        <w:rPr>
          <w:rFonts w:ascii="Arial" w:cs="Arial" w:eastAsia="Arial" w:hAnsi="Arial"/>
          <w:i/>
          <w:iCs/>
          <w:sz w:val="24"/>
          <w:szCs w:val="24"/>
        </w:rPr>
        <w:t xml:space="preserve">(В редакции постановлений Центризбиркома КР от </w:t>
      </w:r>
      <w:hyperlink w:history="1" r:id="rIdcauzi-_llznojvgh9zlig">
        <w:r>
          <w:rPr>
            <w:rFonts w:ascii="Arial" w:cs="Arial" w:eastAsia="Arial" w:hAnsi="Arial"/>
            <w:i/>
            <w:iCs/>
            <w:color w:val="1D4ED8"/>
            <w:sz w:val="24"/>
            <w:szCs w:val="24"/>
            <w:u w:val="single"/>
          </w:rPr>
          <w:t xml:space="preserve">22 января 2020 года № 10</w:t>
        </w:r>
      </w:hyperlink>
      <w:r>
        <w:rPr>
          <w:rFonts w:ascii="Arial" w:cs="Arial" w:eastAsia="Arial" w:hAnsi="Arial"/>
          <w:i/>
          <w:iCs/>
          <w:sz w:val="24"/>
          <w:szCs w:val="24"/>
        </w:rPr>
        <w:t xml:space="preserve">, </w:t>
      </w:r>
      <w:hyperlink w:history="1" r:id="rIdynpe1tl0detydow8yvb2p">
        <w:r>
          <w:rPr>
            <w:rFonts w:ascii="Arial" w:cs="Arial" w:eastAsia="Arial" w:hAnsi="Arial"/>
            <w:i/>
            <w:iCs/>
            <w:color w:val="1D4ED8"/>
            <w:sz w:val="24"/>
            <w:szCs w:val="24"/>
            <w:u w:val="single"/>
          </w:rPr>
          <w:t xml:space="preserve">12 марта 2020 года № 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Настоящая Инструкция регулирует порядок открытия, ведения специальных счетов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местных кенешей.</w:t>
      </w:r>
    </w:p>
    <w:p>
      <w:pPr>
        <w:spacing w:after="60"/>
        <w:ind w:firstLine="567"/>
        <w:jc w:val="both"/>
      </w:pPr>
      <w:r>
        <w:rPr>
          <w:rFonts w:ascii="Arial" w:cs="Arial" w:eastAsia="Arial" w:hAnsi="Arial"/>
          <w:i/>
          <w:iCs/>
          <w:sz w:val="24"/>
          <w:szCs w:val="24"/>
        </w:rPr>
        <w:t xml:space="preserve">(В редакции </w:t>
      </w:r>
      <w:hyperlink w:history="1" r:id="rIdntxjlbjyzernuraornxm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Граждане с момента самовыдвижения в айылные кенеши, лично либо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через уполномоченного представителя создают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Политическая партия, выдвинувшая список кандидатов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Кандидаты, выдвинутые политическими партиями, в айылные кенеши, кандидаты, выдвинутые политической партией в городские кенеши, не вправе создавать собственные избирательные фонды.</w:t>
      </w:r>
    </w:p>
    <w:p>
      <w:pPr>
        <w:spacing w:after="60"/>
        <w:ind w:firstLine="567"/>
        <w:jc w:val="both"/>
      </w:pPr>
      <w:r>
        <w:rPr>
          <w:rFonts w:ascii="Arial" w:cs="Arial" w:eastAsia="Arial" w:hAnsi="Arial"/>
          <w:i/>
          <w:iCs/>
          <w:sz w:val="24"/>
          <w:szCs w:val="24"/>
        </w:rPr>
        <w:t xml:space="preserve">(В редакции </w:t>
      </w:r>
      <w:hyperlink w:history="1" r:id="rIdnkzq-9uhnz6if3jmg9og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1.2. При выборах депутатов местных кенешей все денежные средства, образующие избирательный фонд, перечисляются на специальный счет в банковском или ином учреждении. Данный счет открывается кандидатом, политической партией, с разрешения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1.3. 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 В случае официального отказа в регистрации кандидата, списка кандидатов средства, поступившие в избирательный фонд, возвращаются организациям и лицам, осуществившим пожертвования и перечисления.</w:t>
      </w:r>
    </w:p>
    <w:p>
      <w:pPr>
        <w:spacing w:after="60"/>
        <w:ind w:firstLine="567"/>
        <w:jc w:val="both"/>
      </w:pPr>
      <w:r>
        <w:rPr>
          <w:rFonts w:ascii="Arial" w:cs="Arial" w:eastAsia="Arial" w:hAnsi="Arial"/>
          <w:sz w:val="24"/>
          <w:szCs w:val="24"/>
        </w:rPr>
        <w:t xml:space="preserve">1.4. Избирательный фонд политической партии может создаваться за счет следующих средств:</w:t>
      </w:r>
    </w:p>
    <w:p>
      <w:pPr>
        <w:spacing w:after="60"/>
        <w:ind w:firstLine="567"/>
        <w:jc w:val="both"/>
      </w:pPr>
      <w:r>
        <w:rPr>
          <w:rFonts w:ascii="Arial" w:cs="Arial" w:eastAsia="Arial" w:hAnsi="Arial"/>
          <w:sz w:val="24"/>
          <w:szCs w:val="24"/>
        </w:rPr>
        <w:t xml:space="preserve">1) собственных средства кандидата, политической партии;</w:t>
      </w:r>
    </w:p>
    <w:p>
      <w:pPr>
        <w:spacing w:after="60"/>
        <w:ind w:firstLine="567"/>
        <w:jc w:val="both"/>
      </w:pPr>
      <w:r>
        <w:rPr>
          <w:rFonts w:ascii="Arial" w:cs="Arial" w:eastAsia="Arial" w:hAnsi="Arial"/>
          <w:sz w:val="24"/>
          <w:szCs w:val="24"/>
        </w:rPr>
        <w:t xml:space="preserve">2) добровольных пожертвований граждан и юридических лиц, за исключением лиц, перечисленных в разделе 3 настоящей Инструкции.</w:t>
      </w:r>
    </w:p>
    <w:p>
      <w:pPr>
        <w:spacing w:after="60"/>
        <w:ind w:firstLine="567"/>
        <w:jc w:val="both"/>
      </w:pPr>
      <w:r>
        <w:rPr>
          <w:rFonts w:ascii="Arial" w:cs="Arial" w:eastAsia="Arial" w:hAnsi="Arial"/>
          <w:sz w:val="24"/>
          <w:szCs w:val="24"/>
        </w:rPr>
        <w:t xml:space="preserve">1.5. Право распоряжаться средствами избирательных фондов принадлежит создавшим их кандидатам, политическим партиям и их уполномоченным представителям.</w:t>
      </w:r>
    </w:p>
    <w:p>
      <w:pPr>
        <w:spacing w:after="60"/>
        <w:ind w:firstLine="567"/>
        <w:jc w:val="both"/>
      </w:pPr>
      <w:r>
        <w:rPr>
          <w:rFonts w:ascii="Arial" w:cs="Arial" w:eastAsia="Arial" w:hAnsi="Arial"/>
          <w:i/>
          <w:iCs/>
          <w:sz w:val="24"/>
          <w:szCs w:val="24"/>
        </w:rPr>
        <w:t xml:space="preserve">(В редакции </w:t>
      </w:r>
      <w:hyperlink w:history="1" r:id="rIdiqlyfyphv13egqqpzbz_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1.6. Перечень банковских или иных учреждений, для открытия, ведения специальных счетов кандидатов, политических партий, учета и отчетности по средствам избирательных фондов кандидатов, политических партий при проведении выборов депутатов местных кенешей устанавливаются Центральной избирательной комиссией по согласованию с банковскими или иными учреждениями.</w:t>
      </w:r>
    </w:p>
    <w:p>
      <w:pPr>
        <w:spacing w:after="60"/>
        <w:ind w:firstLine="567"/>
        <w:jc w:val="both"/>
      </w:pPr>
      <w:r>
        <w:rPr>
          <w:rFonts w:ascii="Arial" w:cs="Arial" w:eastAsia="Arial" w:hAnsi="Arial"/>
          <w:i/>
          <w:iCs/>
          <w:sz w:val="24"/>
          <w:szCs w:val="24"/>
        </w:rPr>
        <w:t xml:space="preserve">(В редакции </w:t>
      </w:r>
      <w:hyperlink w:history="1" r:id="rIdmak68w0jotulo89etjs9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1.7. Все денежные средства зачисляются на счет избирательного фонда в национальной валюте. Перечисление в иностранной валюте запрещается. Проценты по данным счетам не начисляются и не выплачиваются.</w:t>
      </w:r>
    </w:p>
    <w:p>
      <w:pPr>
        <w:spacing w:after="60"/>
        <w:ind w:firstLine="567"/>
        <w:jc w:val="both"/>
      </w:pPr>
      <w:r>
        <w:rPr>
          <w:rFonts w:ascii="Arial" w:cs="Arial" w:eastAsia="Arial" w:hAnsi="Arial"/>
          <w:sz w:val="24"/>
          <w:szCs w:val="24"/>
        </w:rPr>
        <w:t xml:space="preserve">1.8. Средства избирательного фонда имеют целевое назначение и могут использоваться только на покрытие расходов, связанных с проведением выборной кампании.</w:t>
      </w:r>
    </w:p>
    <w:p>
      <w:pPr>
        <w:spacing w:after="60"/>
        <w:ind w:firstLine="567"/>
        <w:jc w:val="both"/>
      </w:pPr>
      <w:r>
        <w:rPr>
          <w:rFonts w:ascii="Arial" w:cs="Arial" w:eastAsia="Arial" w:hAnsi="Arial"/>
          <w:sz w:val="24"/>
          <w:szCs w:val="24"/>
        </w:rPr>
        <w:t xml:space="preserve">1.9. Контроль за порядком формирования и расходования средств избирательных фондов кандидатов, политических партий осуществляется соответствующими избирательными комиссиями. 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 Контроль за источниками поступления, правильным учетом и использованием денежных средств избирательного фонда кандидатов, политических партий, за внесением и возвратом избирательного залога, проверку финансовых отчетов кандидатов, политических партий осуществляет контрольно-ревизионная группа при Центральной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adwrpsxbsgvuf1yzcxwy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2. Создание избирательных фондов</w:t>
      </w:r>
    </w:p>
    <w:p>
      <w:pPr>
        <w:spacing w:after="60"/>
        <w:ind w:firstLine="567"/>
        <w:jc w:val="both"/>
      </w:pPr>
      <w:r>
        <w:rPr>
          <w:rFonts w:ascii="Arial" w:cs="Arial" w:eastAsia="Arial" w:hAnsi="Arial"/>
          <w:sz w:val="24"/>
          <w:szCs w:val="24"/>
        </w:rPr>
        <w:t xml:space="preserve">2.1. Политическая партия, выдвинувшая список кандидатов в депутаты в городской кенеш, для финансирования своей избирательной кампании создает избирательный фонд в течение 5 календарных дней после регистрации избирательной комиссией уполномоченного представителя политической партии по финансовым вопросам.</w:t>
      </w:r>
    </w:p>
    <w:p>
      <w:pPr>
        <w:spacing w:after="60"/>
        <w:ind w:firstLine="567"/>
        <w:jc w:val="both"/>
      </w:pPr>
      <w:r>
        <w:rPr>
          <w:rFonts w:ascii="Arial" w:cs="Arial" w:eastAsia="Arial" w:hAnsi="Arial"/>
          <w:sz w:val="24"/>
          <w:szCs w:val="24"/>
        </w:rPr>
        <w:t xml:space="preserve">Кандидаты с момента самовыдвижения в местные кенеши, лично либо через уполномоченного представителя, политические партии с момента выдвижения кандидатов в айылные кенеши до представления документов для регистрации через уполномоченного представителя создают избирательные фонды для финансирования избирательной кампании.</w:t>
      </w:r>
    </w:p>
    <w:p>
      <w:pPr>
        <w:spacing w:after="60"/>
        <w:ind w:firstLine="567"/>
        <w:jc w:val="both"/>
      </w:pPr>
      <w:r>
        <w:rPr>
          <w:rFonts w:ascii="Arial" w:cs="Arial" w:eastAsia="Arial" w:hAnsi="Arial"/>
          <w:sz w:val="24"/>
          <w:szCs w:val="24"/>
        </w:rPr>
        <w:t xml:space="preserve">В случае регистрации кандидата или списка кандидатов кандидаты, политические партии, выдвинувшие кандидатов, а также политические партии, выдвинувшие список кандидатов, продолжают ведение открытых счетов собственных избирательных фондов для финансирования предвыборной агитации.</w:t>
      </w:r>
    </w:p>
    <w:p>
      <w:pPr>
        <w:spacing w:after="60"/>
        <w:ind w:firstLine="567"/>
        <w:jc w:val="both"/>
      </w:pPr>
      <w:r>
        <w:rPr>
          <w:rFonts w:ascii="Arial" w:cs="Arial" w:eastAsia="Arial" w:hAnsi="Arial"/>
          <w:i/>
          <w:iCs/>
          <w:sz w:val="24"/>
          <w:szCs w:val="24"/>
        </w:rPr>
        <w:t xml:space="preserve">(В редакции </w:t>
      </w:r>
      <w:hyperlink w:history="1" r:id="rIdsijsw7lboituqdsjpveu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2.2. Денежные средства, поступающие в избирательные фонды кандидатов, политических партий исчисляются от расчетного показателя, установленного законом Кыргызской Республики на день назначения выборов. Денежные средства, поступившие сверх установленного размера, зачислению в избирательные фонды не подлежат и возвращаются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2.3. В случае снятия кандидатом своей кандидатуры, отзыва своих кандидатов политической партией, отзыва списка кандидатов политической партией или отмены (аннулирования) регистрации кандидата, списка кандидатов поступившие в избирательный фонд денежные средства подлежат безотлагательному возврату внесшим их гражданам и организациям. При этом расходы, связанные с возвратом указанных средств, покрываются за счет внесших их граждан и организаций.</w:t>
      </w:r>
    </w:p>
    <w:p>
      <w:pPr>
        <w:spacing w:after="60"/>
        <w:ind w:firstLine="567"/>
        <w:jc w:val="both"/>
      </w:pPr>
      <w:r>
        <w:rPr>
          <w:rFonts w:ascii="Arial" w:cs="Arial" w:eastAsia="Arial" w:hAnsi="Arial"/>
          <w:sz w:val="24"/>
          <w:szCs w:val="24"/>
        </w:rPr>
        <w:t xml:space="preserve">2.4. Избирательные фонды могут формироваться за счет следующих денежных средств:</w:t>
      </w:r>
    </w:p>
    <w:p>
      <w:pPr>
        <w:spacing w:after="60"/>
        <w:ind w:firstLine="567"/>
        <w:jc w:val="both"/>
      </w:pPr>
      <w:r>
        <w:rPr>
          <w:rFonts w:ascii="Arial" w:cs="Arial" w:eastAsia="Arial" w:hAnsi="Arial"/>
          <w:sz w:val="24"/>
          <w:szCs w:val="24"/>
        </w:rPr>
        <w:t xml:space="preserve">1) При выборах депутатов в Бишкекский, Ошский городские кенеши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включенного в список кандидатов,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собственные средства политической партии,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3000 раз.</w:t>
      </w:r>
    </w:p>
    <w:p>
      <w:pPr>
        <w:spacing w:after="60"/>
        <w:ind w:firstLine="567"/>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150000 раз.</w:t>
      </w:r>
    </w:p>
    <w:p>
      <w:pPr>
        <w:spacing w:after="60"/>
        <w:ind w:firstLine="567"/>
        <w:jc w:val="both"/>
      </w:pPr>
      <w:r>
        <w:rPr>
          <w:rFonts w:ascii="Arial" w:cs="Arial" w:eastAsia="Arial" w:hAnsi="Arial"/>
          <w:sz w:val="24"/>
          <w:szCs w:val="24"/>
        </w:rPr>
        <w:t xml:space="preserve">2) При выборах депутатов в городские кенеши (за исключением городов Бишкек и Ош)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включенного в список кандидатов, размер которых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 собственные средства политической партии, размер которых не может превышать расчетный показатель более чем в 5000 раз;</w:t>
      </w:r>
    </w:p>
    <w:p>
      <w:pPr>
        <w:spacing w:after="60"/>
        <w:ind w:firstLine="567"/>
        <w:jc w:val="both"/>
      </w:pPr>
      <w:r>
        <w:rPr>
          <w:rFonts w:ascii="Arial" w:cs="Arial" w:eastAsia="Arial" w:hAnsi="Arial"/>
          <w:sz w:val="24"/>
          <w:szCs w:val="24"/>
        </w:rPr>
        <w:t xml:space="preserve">- пожертвования физических лиц, размер которых не может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юридических лиц, размер которых не может превышать расчетный показатель более чем в 2000 раз.</w:t>
      </w:r>
    </w:p>
    <w:p>
      <w:pPr>
        <w:spacing w:after="60"/>
        <w:ind w:firstLine="567"/>
        <w:jc w:val="both"/>
      </w:pPr>
      <w:r>
        <w:rPr>
          <w:rFonts w:ascii="Arial" w:cs="Arial" w:eastAsia="Arial" w:hAnsi="Arial"/>
          <w:sz w:val="24"/>
          <w:szCs w:val="24"/>
        </w:rPr>
        <w:t xml:space="preserve">Предельная сумма расходов политической партии за счет средств избирательного фонда не может превышать расчетный показатель более чем в 50000 раз.</w:t>
      </w:r>
    </w:p>
    <w:p>
      <w:pPr>
        <w:spacing w:after="60"/>
        <w:ind w:firstLine="567"/>
        <w:jc w:val="both"/>
      </w:pPr>
      <w:r>
        <w:rPr>
          <w:rFonts w:ascii="Arial" w:cs="Arial" w:eastAsia="Arial" w:hAnsi="Arial"/>
          <w:sz w:val="24"/>
          <w:szCs w:val="24"/>
        </w:rPr>
        <w:t xml:space="preserve">3) При выборах депутатов в айылные кенеши за счет следующих денежных средств:</w:t>
      </w:r>
    </w:p>
    <w:p>
      <w:pPr>
        <w:spacing w:after="60"/>
        <w:ind w:firstLine="567"/>
        <w:jc w:val="both"/>
      </w:pPr>
      <w:r>
        <w:rPr>
          <w:rFonts w:ascii="Arial" w:cs="Arial" w:eastAsia="Arial" w:hAnsi="Arial"/>
          <w:sz w:val="24"/>
          <w:szCs w:val="24"/>
        </w:rPr>
        <w:t xml:space="preserve">- собственные средства кандидата, которые не могут превышать расчетный показатель более чем в 500 раз;</w:t>
      </w:r>
    </w:p>
    <w:p>
      <w:pPr>
        <w:spacing w:after="60"/>
        <w:ind w:firstLine="567"/>
        <w:jc w:val="both"/>
      </w:pPr>
      <w:r>
        <w:rPr>
          <w:rFonts w:ascii="Arial" w:cs="Arial" w:eastAsia="Arial" w:hAnsi="Arial"/>
          <w:sz w:val="24"/>
          <w:szCs w:val="24"/>
        </w:rPr>
        <w:t xml:space="preserve">- средства, выделенные политической партией, которые не могут превышать расчетный показатель более чем в 1000 раз;</w:t>
      </w:r>
    </w:p>
    <w:p>
      <w:pPr>
        <w:spacing w:after="60"/>
        <w:ind w:firstLine="567"/>
        <w:jc w:val="both"/>
      </w:pPr>
      <w:r>
        <w:rPr>
          <w:rFonts w:ascii="Arial" w:cs="Arial" w:eastAsia="Arial" w:hAnsi="Arial"/>
          <w:sz w:val="24"/>
          <w:szCs w:val="24"/>
        </w:rPr>
        <w:t xml:space="preserve">- пожертвования физических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 пожертвования юридических лиц, размер каждого из них не может превышать расчетный показатель более чем в 500 раз.</w:t>
      </w:r>
    </w:p>
    <w:p>
      <w:pPr>
        <w:spacing w:after="60"/>
        <w:ind w:firstLine="567"/>
        <w:jc w:val="both"/>
      </w:pPr>
      <w:r>
        <w:rPr>
          <w:rFonts w:ascii="Arial" w:cs="Arial" w:eastAsia="Arial" w:hAnsi="Arial"/>
          <w:sz w:val="24"/>
          <w:szCs w:val="24"/>
        </w:rPr>
        <w:t xml:space="preserve">Предельная сумма расходов кандидата в том числе кандидата от политической партии за счет средств избирательного фонда не может превышать расчетный показатель более чем в 5000 раз.</w:t>
      </w:r>
    </w:p>
    <w:p>
      <w:pPr>
        <w:spacing w:after="60"/>
        <w:ind w:firstLine="567"/>
        <w:jc w:val="both"/>
      </w:pPr>
      <w:r>
        <w:rPr>
          <w:rFonts w:ascii="Arial" w:cs="Arial" w:eastAsia="Arial" w:hAnsi="Arial"/>
          <w:i/>
          <w:iCs/>
          <w:sz w:val="24"/>
          <w:szCs w:val="24"/>
        </w:rPr>
        <w:t xml:space="preserve">(В редакции </w:t>
      </w:r>
      <w:hyperlink w:history="1" r:id="rIdhhqyc-kqrwkwciha3xmr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2.5. Добровольным пожертвованием признается безвозмездное внесение собственных денежных средств на специальный счет избирательного фонда кандидата, политической партии.</w:t>
      </w:r>
    </w:p>
    <w:p>
      <w:pPr>
        <w:spacing w:after="60"/>
        <w:ind w:firstLine="567"/>
        <w:jc w:val="both"/>
      </w:pPr>
      <w:r>
        <w:rPr>
          <w:rFonts w:ascii="Arial" w:cs="Arial" w:eastAsia="Arial" w:hAnsi="Arial"/>
          <w:i/>
          <w:iCs/>
          <w:sz w:val="24"/>
          <w:szCs w:val="24"/>
        </w:rPr>
        <w:t xml:space="preserve">(В редакции </w:t>
      </w:r>
      <w:hyperlink w:history="1" r:id="rIdzoehddxjwdl9zlhmu8n4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3. Запреты на пожертвования в избирательные фонды</w:t>
      </w:r>
    </w:p>
    <w:p>
      <w:pPr>
        <w:spacing w:after="60"/>
        <w:ind w:firstLine="567"/>
        <w:jc w:val="both"/>
      </w:pPr>
      <w:r>
        <w:rPr>
          <w:rFonts w:ascii="Arial" w:cs="Arial" w:eastAsia="Arial" w:hAnsi="Arial"/>
          <w:sz w:val="24"/>
          <w:szCs w:val="24"/>
        </w:rPr>
        <w:t xml:space="preserve">3.1. Не допускаются добровольные пожертвования в избирательный фонд:</w:t>
      </w:r>
    </w:p>
    <w:p>
      <w:pPr>
        <w:spacing w:after="60"/>
        <w:ind w:firstLine="567"/>
        <w:jc w:val="both"/>
      </w:pPr>
      <w:r>
        <w:rPr>
          <w:rFonts w:ascii="Arial" w:cs="Arial" w:eastAsia="Arial" w:hAnsi="Arial"/>
          <w:sz w:val="24"/>
          <w:szCs w:val="24"/>
        </w:rPr>
        <w:t xml:space="preserve">- иностранных государств, иностранных государственных органов, учреждений и предприятий, других иностранных юридических лиц, их филиалов и представительств, иностранных граждан, международных организаций, зарегистрированных в Кыргызской Республике юридических лиц, участниками которых являются иностранные граждане и юридические лица;</w:t>
      </w:r>
    </w:p>
    <w:p>
      <w:pPr>
        <w:spacing w:after="60"/>
        <w:ind w:firstLine="567"/>
        <w:jc w:val="both"/>
      </w:pPr>
      <w:r>
        <w:rPr>
          <w:rFonts w:ascii="Arial" w:cs="Arial" w:eastAsia="Arial" w:hAnsi="Arial"/>
          <w:sz w:val="24"/>
          <w:szCs w:val="24"/>
        </w:rPr>
        <w:t xml:space="preserve">- лиц без гражданства;</w:t>
      </w:r>
    </w:p>
    <w:p>
      <w:pPr>
        <w:spacing w:after="60"/>
        <w:ind w:firstLine="567"/>
        <w:jc w:val="both"/>
      </w:pPr>
      <w:r>
        <w:rPr>
          <w:rFonts w:ascii="Arial" w:cs="Arial" w:eastAsia="Arial" w:hAnsi="Arial"/>
          <w:sz w:val="24"/>
          <w:szCs w:val="24"/>
        </w:rPr>
        <w:t xml:space="preserve">-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 государственных и муниципальных учреждений и предприятий;</w:t>
      </w:r>
    </w:p>
    <w:p>
      <w:pPr>
        <w:spacing w:after="60"/>
        <w:ind w:firstLine="567"/>
        <w:jc w:val="both"/>
      </w:pPr>
      <w:r>
        <w:rPr>
          <w:rFonts w:ascii="Arial" w:cs="Arial" w:eastAsia="Arial" w:hAnsi="Arial"/>
          <w:sz w:val="24"/>
          <w:szCs w:val="24"/>
        </w:rPr>
        <w:t xml:space="preserve">- юридических лиц, имеющих государственную или муниципальную долю в уставном капитале, а также пользующихся льготами по уплате налогов, сборов и других обязательных платежей;</w:t>
      </w:r>
    </w:p>
    <w:p>
      <w:pPr>
        <w:spacing w:after="60"/>
        <w:ind w:firstLine="567"/>
        <w:jc w:val="both"/>
      </w:pPr>
      <w:r>
        <w:rPr>
          <w:rFonts w:ascii="Arial" w:cs="Arial" w:eastAsia="Arial" w:hAnsi="Arial"/>
          <w:sz w:val="24"/>
          <w:szCs w:val="24"/>
        </w:rPr>
        <w:t xml:space="preserve">- воинских частей, военных учреждений и организаций;</w:t>
      </w:r>
    </w:p>
    <w:p>
      <w:pPr>
        <w:spacing w:after="60"/>
        <w:ind w:firstLine="567"/>
        <w:jc w:val="both"/>
      </w:pPr>
      <w:r>
        <w:rPr>
          <w:rFonts w:ascii="Arial" w:cs="Arial" w:eastAsia="Arial" w:hAnsi="Arial"/>
          <w:sz w:val="24"/>
          <w:szCs w:val="24"/>
        </w:rPr>
        <w:t xml:space="preserve">- правоохранительных органов, судов;</w:t>
      </w:r>
    </w:p>
    <w:p>
      <w:pPr>
        <w:spacing w:after="60"/>
        <w:ind w:firstLine="567"/>
        <w:jc w:val="both"/>
      </w:pPr>
      <w:r>
        <w:rPr>
          <w:rFonts w:ascii="Arial" w:cs="Arial" w:eastAsia="Arial" w:hAnsi="Arial"/>
          <w:sz w:val="24"/>
          <w:szCs w:val="24"/>
        </w:rPr>
        <w:t xml:space="preserve">- организаций, занимающихся благотворительной деятельностью;</w:t>
      </w:r>
    </w:p>
    <w:p>
      <w:pPr>
        <w:spacing w:after="60"/>
        <w:ind w:firstLine="567"/>
        <w:jc w:val="both"/>
      </w:pPr>
      <w:r>
        <w:rPr>
          <w:rFonts w:ascii="Arial" w:cs="Arial" w:eastAsia="Arial" w:hAnsi="Arial"/>
          <w:sz w:val="24"/>
          <w:szCs w:val="24"/>
        </w:rPr>
        <w:t xml:space="preserve">- религиозных организаций;</w:t>
      </w:r>
    </w:p>
    <w:p>
      <w:pPr>
        <w:spacing w:after="60"/>
        <w:ind w:firstLine="567"/>
        <w:jc w:val="both"/>
      </w:pPr>
      <w:r>
        <w:rPr>
          <w:rFonts w:ascii="Arial" w:cs="Arial" w:eastAsia="Arial" w:hAnsi="Arial"/>
          <w:sz w:val="24"/>
          <w:szCs w:val="24"/>
        </w:rPr>
        <w:t xml:space="preserve">- анонимные пожертвования.</w:t>
      </w:r>
    </w:p>
    <w:p>
      <w:pPr>
        <w:spacing w:after="60"/>
        <w:ind w:firstLine="567"/>
        <w:jc w:val="both"/>
      </w:pPr>
      <w:r>
        <w:rPr>
          <w:rFonts w:ascii="Arial" w:cs="Arial" w:eastAsia="Arial" w:hAnsi="Arial"/>
          <w:sz w:val="24"/>
          <w:szCs w:val="24"/>
        </w:rPr>
        <w:t xml:space="preserve">Под анонимным жертвователем понимается гражданин, если им не указано любое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i/>
          <w:iCs/>
          <w:sz w:val="24"/>
          <w:szCs w:val="24"/>
        </w:rPr>
        <w:t xml:space="preserve">(В редакции </w:t>
      </w:r>
      <w:hyperlink w:history="1" r:id="rId7upp6ph8f9p5ci3x9sfv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3.2. Запрещается внесение в избирательный фонд денежных средств юридическими лицами, физическими лицами, осуществляющими предпринимательскую деятельность без образования юридического лица, имеющих задолженность перед бюджетом или Социальным фондом Кыргызской Республики. Кандидат, политическая партия не несет ответственности в случае перечисления указанными юридическими и физическими лицами денежных средств в избирательный фонд. В случае если в избирательный фонд кандидата, политической партии поступили денежные средства от вышеуказанных физических и юридических лиц, по решению суда банковское учреждение обязано перечислить эти средства в специальный фонд Центральной избирательной комиссии, который, в свою очередь, перечисляет данные средства в государственный бюджет или Социальный фонд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mvbiquvvbjqy0feq94v1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4. Порядок открытия специальных счетов</w:t>
      </w:r>
    </w:p>
    <w:p>
      <w:pPr>
        <w:spacing w:after="60"/>
        <w:ind w:firstLine="567"/>
        <w:jc w:val="both"/>
      </w:pPr>
      <w:r>
        <w:rPr>
          <w:rFonts w:ascii="Arial" w:cs="Arial" w:eastAsia="Arial" w:hAnsi="Arial"/>
          <w:sz w:val="24"/>
          <w:szCs w:val="24"/>
        </w:rPr>
        <w:t xml:space="preserve">4.1. Для формирования избирательного фонда кандидат, политическая партия обращаются в соответствующую территориальную избирательную комиссию с заявлением по Форме № 1 об оформлении документов на открытие специального счета.</w:t>
      </w:r>
    </w:p>
    <w:p>
      <w:pPr>
        <w:spacing w:after="60"/>
        <w:ind w:firstLine="567"/>
        <w:jc w:val="both"/>
      </w:pPr>
      <w:r>
        <w:rPr>
          <w:rFonts w:ascii="Arial" w:cs="Arial" w:eastAsia="Arial" w:hAnsi="Arial"/>
          <w:i/>
          <w:iCs/>
          <w:sz w:val="24"/>
          <w:szCs w:val="24"/>
        </w:rPr>
        <w:t xml:space="preserve">(В редакции </w:t>
      </w:r>
      <w:hyperlink w:history="1" r:id="rIdrqy9wjeddluxs_aj3km-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4.2. После получения от соответствующей территориальной избирательной комиссии письменного разрешения на открытие специального счета по Форме № 2, кандидаты в айылные кенеши, политическая партия, выдвинувшая кандидатов в айылные кенеши, либо выдвинувшая список кандидатов в городской кенеш, открывают специальный счет для формирования избирательного фонда.</w:t>
      </w:r>
    </w:p>
    <w:p>
      <w:pPr>
        <w:spacing w:after="60"/>
        <w:ind w:firstLine="567"/>
        <w:jc w:val="both"/>
      </w:pPr>
      <w:r>
        <w:rPr>
          <w:rFonts w:ascii="Arial" w:cs="Arial" w:eastAsia="Arial" w:hAnsi="Arial"/>
          <w:i/>
          <w:iCs/>
          <w:sz w:val="24"/>
          <w:szCs w:val="24"/>
        </w:rPr>
        <w:t xml:space="preserve">(В редакции </w:t>
      </w:r>
      <w:hyperlink w:history="1" r:id="rIdnsgdl6n4opam0p-ofbz6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4.3. Открытие специального счета осуществляется банковским учреждением незамедлительно после предоставления в банк:</w:t>
      </w:r>
    </w:p>
    <w:p>
      <w:pPr>
        <w:spacing w:after="60"/>
        <w:ind w:firstLine="567"/>
        <w:jc w:val="both"/>
      </w:pPr>
      <w:r>
        <w:rPr>
          <w:rFonts w:ascii="Arial" w:cs="Arial" w:eastAsia="Arial" w:hAnsi="Arial"/>
          <w:sz w:val="24"/>
          <w:szCs w:val="24"/>
        </w:rPr>
        <w:t xml:space="preserve">- заявления кандидата, политической партии об открытии счета по форме № 1;</w:t>
      </w:r>
    </w:p>
    <w:p>
      <w:pPr>
        <w:spacing w:after="60"/>
        <w:ind w:firstLine="567"/>
        <w:jc w:val="both"/>
      </w:pPr>
      <w:r>
        <w:rPr>
          <w:rFonts w:ascii="Arial" w:cs="Arial" w:eastAsia="Arial" w:hAnsi="Arial"/>
          <w:sz w:val="24"/>
          <w:szCs w:val="24"/>
        </w:rPr>
        <w:t xml:space="preserve">- письменного разрешения избирательной комиссии по форме № 2;</w:t>
      </w:r>
    </w:p>
    <w:p>
      <w:pPr>
        <w:spacing w:after="60"/>
        <w:ind w:firstLine="567"/>
        <w:jc w:val="both"/>
      </w:pPr>
      <w:r>
        <w:rPr>
          <w:rFonts w:ascii="Arial" w:cs="Arial" w:eastAsia="Arial" w:hAnsi="Arial"/>
          <w:sz w:val="24"/>
          <w:szCs w:val="24"/>
        </w:rPr>
        <w:t xml:space="preserve">- паспорта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 копию решения территориальной избирательной комиссии о регистрации уполномоченного представителя партии по финансовым вопросам;</w:t>
      </w:r>
    </w:p>
    <w:p>
      <w:pPr>
        <w:spacing w:after="60"/>
        <w:ind w:firstLine="567"/>
        <w:jc w:val="both"/>
      </w:pPr>
      <w:r>
        <w:rPr>
          <w:rFonts w:ascii="Arial" w:cs="Arial" w:eastAsia="Arial" w:hAnsi="Arial"/>
          <w:sz w:val="24"/>
          <w:szCs w:val="24"/>
        </w:rPr>
        <w:t xml:space="preserve">- копии Устава или Положения регионального (территориального) отделения политической партии, заверенной печатью политической партии или регионального (территориального) отделения партии. (Указанные документы не предоставляются самовыдвиженцем);</w:t>
      </w:r>
    </w:p>
    <w:p>
      <w:pPr>
        <w:spacing w:after="60"/>
        <w:ind w:firstLine="567"/>
        <w:jc w:val="both"/>
      </w:pPr>
      <w:r>
        <w:rPr>
          <w:rFonts w:ascii="Arial" w:cs="Arial" w:eastAsia="Arial" w:hAnsi="Arial"/>
          <w:sz w:val="24"/>
          <w:szCs w:val="24"/>
        </w:rPr>
        <w:t xml:space="preserve">- карточки с образцами подписей, заверенные печатью политической партии или регионального (территориального) отделения по </w:t>
      </w:r>
      <w:r>
        <w:rPr>
          <w:rFonts w:ascii="Arial" w:cs="Arial" w:eastAsia="Arial" w:hAnsi="Arial"/>
          <w:sz w:val="24"/>
          <w:szCs w:val="24"/>
        </w:rPr>
        <w:t xml:space="preserve">форме № 8</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wqwp-btmgfb26kc4-_gz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4.4. Кандидат, политическая партия в трехдневный срок, со дня открытия специального счета, обязаны письменно сообщить в территориальную избирательную комиссию реквизиты счета своего избирательного фонда, по форме № 3.</w:t>
      </w:r>
    </w:p>
    <w:p>
      <w:pPr>
        <w:spacing w:after="60"/>
        <w:ind w:firstLine="567"/>
        <w:jc w:val="both"/>
      </w:pPr>
      <w:r>
        <w:rPr>
          <w:rFonts w:ascii="Arial" w:cs="Arial" w:eastAsia="Arial" w:hAnsi="Arial"/>
          <w:i/>
          <w:iCs/>
          <w:sz w:val="24"/>
          <w:szCs w:val="24"/>
        </w:rPr>
        <w:t xml:space="preserve">(В редакции </w:t>
      </w:r>
      <w:hyperlink w:history="1" r:id="rId4jkqj4vipmc0rax-dtqfr">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4.5. Кандидат, политическая партия имеет право открыть только один специальный счет для формирования своего избирательного фонда. При этом политическая партия, выдвинувшая кандидатов в айылные кенеши, должна соблюдать требования к предельным суммам поступлений и расходов, установленным для каждого кандидата в айылные кенеши.</w:t>
      </w:r>
    </w:p>
    <w:p>
      <w:pPr>
        <w:spacing w:after="60"/>
        <w:ind w:firstLine="567"/>
        <w:jc w:val="both"/>
      </w:pPr>
      <w:r>
        <w:rPr>
          <w:rFonts w:ascii="Arial" w:cs="Arial" w:eastAsia="Arial" w:hAnsi="Arial"/>
          <w:i/>
          <w:iCs/>
          <w:sz w:val="24"/>
          <w:szCs w:val="24"/>
        </w:rPr>
        <w:t xml:space="preserve">(В редакции </w:t>
      </w:r>
      <w:hyperlink w:history="1" r:id="rIdl4r3amr3nuemyo2pny0i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4.6. Все условия обслуживания счета должны быть отражены в договоре на обслуживание банковского счета.</w:t>
      </w:r>
    </w:p>
    <w:p>
      <w:pPr>
        <w:spacing w:after="200" w:before="200"/>
        <w:jc w:val="center"/>
      </w:pPr>
      <w:r>
        <w:rPr>
          <w:rFonts w:ascii="Arial" w:cs="Arial" w:eastAsia="Arial" w:hAnsi="Arial"/>
          <w:b/>
          <w:bCs/>
          <w:sz w:val="24"/>
          <w:szCs w:val="24"/>
        </w:rPr>
        <w:t xml:space="preserve">5. Перечисление денежных средств в избирательные фонды</w:t>
      </w:r>
    </w:p>
    <w:p>
      <w:pPr>
        <w:spacing w:after="60"/>
        <w:ind w:firstLine="567"/>
        <w:jc w:val="both"/>
      </w:pPr>
      <w:r>
        <w:rPr>
          <w:rFonts w:ascii="Arial" w:cs="Arial" w:eastAsia="Arial" w:hAnsi="Arial"/>
          <w:sz w:val="24"/>
          <w:szCs w:val="24"/>
        </w:rPr>
        <w:t xml:space="preserve">5.1. Собственные средства кандидата, политической партии и добровольные пожертвования граждан и юридических лиц, образующие избирательный фонд, перечисляются на специальный счет в банковском или ином учреждении. Денежные средства, поступающие в избирательные фонды, принимаются в национальной валюте. Доходы по указанным счетам не начисляются и не выплачиваются.</w:t>
      </w:r>
    </w:p>
    <w:p>
      <w:pPr>
        <w:spacing w:after="60"/>
        <w:ind w:firstLine="567"/>
        <w:jc w:val="both"/>
      </w:pPr>
      <w:r>
        <w:rPr>
          <w:rFonts w:ascii="Arial" w:cs="Arial" w:eastAsia="Arial" w:hAnsi="Arial"/>
          <w:i/>
          <w:iCs/>
          <w:sz w:val="24"/>
          <w:szCs w:val="24"/>
        </w:rPr>
        <w:t xml:space="preserve">(В редакции </w:t>
      </w:r>
      <w:hyperlink w:history="1" r:id="rId3hpvvw7mjv0mpknmyg8-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5.2. Добровольные пожертвования, в соответствующий избирательный фонд, поступившие от физических лиц, принимаются банковским учреждением только по предъявлению паспорта гражданина Кыргызской Республики. В платежных документах указывается фамилия, имя и отчество жертвователя, дата рождения, адрес места жительства (регистрации), серия и номер паспорта гражданина, которые сверяются банковским работником с данными паспорта. В квитанциях на взнос денег наличными полные данные жертвователя указываются в графе "назначение платежа". При перечислении указанных средств из банка, получившего денежные средства в банк, в котором находится избирательный фонд, данные о жертвователе в платежном поручении, должны быть указаны полностью.</w:t>
      </w:r>
    </w:p>
    <w:p>
      <w:pPr>
        <w:spacing w:after="60"/>
        <w:ind w:firstLine="567"/>
        <w:jc w:val="both"/>
      </w:pPr>
      <w:r>
        <w:rPr>
          <w:rFonts w:ascii="Arial" w:cs="Arial" w:eastAsia="Arial" w:hAnsi="Arial"/>
          <w:i/>
          <w:iCs/>
          <w:sz w:val="24"/>
          <w:szCs w:val="24"/>
        </w:rPr>
        <w:t xml:space="preserve">(В редакции постановления Центризбиркома КР от 22 января 2020 года № 10)</w:t>
      </w:r>
    </w:p>
    <w:p>
      <w:pPr>
        <w:spacing w:after="60"/>
        <w:ind w:firstLine="567"/>
        <w:jc w:val="both"/>
      </w:pPr>
      <w:r>
        <w:rPr>
          <w:rFonts w:ascii="Arial" w:cs="Arial" w:eastAsia="Arial" w:hAnsi="Arial"/>
          <w:sz w:val="24"/>
          <w:szCs w:val="24"/>
        </w:rPr>
        <w:t xml:space="preserve">5.3. Добровольные пожертвования в избирательный фонд, поступившие от юридических лиц, принимаются банковским учреждением только по предъявлении справок об отсутствии задолженности перед бюджетом из соответствующей налоговой инспекции и отделения Социального фонда Кыргызской Республики. В платежных документах юридических лиц в графе "назначение платежа" должны содержаться следующие сведения - идентификационный номер налогоплательщика, полное наименование юридического лица, адрес местонахождения.</w:t>
      </w:r>
    </w:p>
    <w:p>
      <w:pPr>
        <w:spacing w:after="60"/>
        <w:ind w:firstLine="567"/>
        <w:jc w:val="both"/>
      </w:pPr>
      <w:r>
        <w:rPr>
          <w:rFonts w:ascii="Arial" w:cs="Arial" w:eastAsia="Arial" w:hAnsi="Arial"/>
          <w:i/>
          <w:iCs/>
          <w:sz w:val="24"/>
          <w:szCs w:val="24"/>
        </w:rPr>
        <w:t xml:space="preserve">(В редакции </w:t>
      </w:r>
      <w:hyperlink w:history="1" r:id="rIdfmeiwzsyazc1pmaqxz-w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6. Учет и расходование средств избирательных фондов</w:t>
      </w:r>
    </w:p>
    <w:p>
      <w:pPr>
        <w:spacing w:after="60"/>
        <w:ind w:firstLine="567"/>
        <w:jc w:val="both"/>
      </w:pPr>
      <w:r>
        <w:rPr>
          <w:rFonts w:ascii="Arial" w:cs="Arial" w:eastAsia="Arial" w:hAnsi="Arial"/>
          <w:sz w:val="24"/>
          <w:szCs w:val="24"/>
        </w:rPr>
        <w:t xml:space="preserve">6.1. Средства избирательных фондов имеют целевое назначение. Они могут использоваться только на покрытие расходов, связанных с проведением выборной кампании.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i/>
          <w:iCs/>
          <w:sz w:val="24"/>
          <w:szCs w:val="24"/>
        </w:rPr>
        <w:t xml:space="preserve">(В редакции </w:t>
      </w:r>
      <w:hyperlink w:history="1" r:id="rId3nck9bby3wue50oi8vo9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6.2. Кандидат, политическая партия имеет право использовать только те пожертвования граждан и юридических лиц, которые в установленном порядке перечислены жертвователями до дня голосования. Запрещается использовать иные денежные средства для оплаты работ, услуг, ведения предвыборной агитации, осуществления других предвыборных мероприятий, кроме средств, поступивших в избирательный фонд.</w:t>
      </w:r>
    </w:p>
    <w:p>
      <w:pPr>
        <w:spacing w:after="60"/>
        <w:ind w:firstLine="567"/>
        <w:jc w:val="both"/>
      </w:pPr>
      <w:r>
        <w:rPr>
          <w:rFonts w:ascii="Arial" w:cs="Arial" w:eastAsia="Arial" w:hAnsi="Arial"/>
          <w:sz w:val="24"/>
          <w:szCs w:val="24"/>
        </w:rPr>
        <w:t xml:space="preserve">6.3. Кандидат, политическая партия вправе знакомиться с информацией об источниках и размерах поступлений денежных средств на счет своего избирательного фонда в банковским учреждением. Кандидат, политическая партия обязана вести учет поступления и расходования средств на счету своего избирательного фонда по форме № 4.</w:t>
      </w:r>
    </w:p>
    <w:p>
      <w:pPr>
        <w:spacing w:after="60"/>
        <w:ind w:firstLine="567"/>
        <w:jc w:val="both"/>
      </w:pPr>
      <w:r>
        <w:rPr>
          <w:rFonts w:ascii="Arial" w:cs="Arial" w:eastAsia="Arial" w:hAnsi="Arial"/>
          <w:i/>
          <w:iCs/>
          <w:sz w:val="24"/>
          <w:szCs w:val="24"/>
        </w:rPr>
        <w:t xml:space="preserve">(В редакции </w:t>
      </w:r>
      <w:hyperlink w:history="1" r:id="rIdvgqcove-judr2awiluqt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6.4. Банковские учреждения обязаны еженедельно, а по требованию Центральной избирательной комиссии в течение 24 часов представлять в территориальную избирательную комиссию, которая зарегистрировала кандидата, политическую партию информацию о поступлении и расходовании средств, находящихся на специальном счете кандидата, политической партии, а также в Центральную избирательную комиссию. Указанная информация по мере поступления подлежит обязательному размещению Центральной избирательной комиссией на официальном сайте с учетом законодательства об информации персонального характера и о банковской тайне. Банковское учреждение предоставляет избирательной комиссии информацию о поступлении и расходовании средств со специального счета избирательного фонда кандидата, политической партии по форме № 5. Указанные сведения предоставляются на бумажном носителе и в электронной форме с подписью руководителя и печатью банковского учреждения. Положение о предоставлении этих сведений включается в договор на обслуживание банковского счета.</w:t>
      </w:r>
    </w:p>
    <w:p>
      <w:pPr>
        <w:spacing w:after="60"/>
        <w:ind w:firstLine="567"/>
        <w:jc w:val="both"/>
      </w:pPr>
      <w:r>
        <w:rPr>
          <w:rFonts w:ascii="Arial" w:cs="Arial" w:eastAsia="Arial" w:hAnsi="Arial"/>
          <w:i/>
          <w:iCs/>
          <w:sz w:val="24"/>
          <w:szCs w:val="24"/>
        </w:rPr>
        <w:t xml:space="preserve">(В редакции </w:t>
      </w:r>
      <w:hyperlink w:history="1" r:id="rIdz239hijbysknv8-zbiob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6.5. Все финансовые операции по расходованию средств избирательного фонда прекращаются в 18.00 часов дня, предшествующего дню выборов.</w:t>
      </w:r>
    </w:p>
    <w:p>
      <w:pPr>
        <w:spacing w:after="60"/>
        <w:ind w:firstLine="567"/>
        <w:jc w:val="both"/>
      </w:pPr>
      <w:r>
        <w:rPr>
          <w:rFonts w:ascii="Arial" w:cs="Arial" w:eastAsia="Arial" w:hAnsi="Arial"/>
          <w:sz w:val="24"/>
          <w:szCs w:val="24"/>
        </w:rPr>
        <w:t xml:space="preserve">6.6. Порядок налогообложения средств избирательного фонда, добровольных пожертвований и перечислений в указанный фонд, а также расходов из указанного фонда устанавливается законами Кыргызской Республики.</w:t>
      </w:r>
    </w:p>
    <w:p>
      <w:pPr>
        <w:spacing w:after="200" w:before="200"/>
        <w:jc w:val="center"/>
      </w:pPr>
      <w:r>
        <w:rPr>
          <w:rFonts w:ascii="Arial" w:cs="Arial" w:eastAsia="Arial" w:hAnsi="Arial"/>
          <w:b/>
          <w:bCs/>
          <w:sz w:val="24"/>
          <w:szCs w:val="24"/>
        </w:rPr>
        <w:t xml:space="preserve">7. Расчеты кандидатов политических партий с гражданами и юридическими лицами</w:t>
      </w:r>
    </w:p>
    <w:p>
      <w:pPr>
        <w:spacing w:after="60"/>
        <w:ind w:firstLine="567"/>
        <w:jc w:val="both"/>
      </w:pPr>
      <w:r>
        <w:rPr>
          <w:rFonts w:ascii="Arial" w:cs="Arial" w:eastAsia="Arial" w:hAnsi="Arial"/>
          <w:sz w:val="24"/>
          <w:szCs w:val="24"/>
        </w:rPr>
        <w:t xml:space="preserve">7.1.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заключаются лично кандидатом либо его уполномоченным представителем, а связанные с избирательной кампанией политических партий - только уполномоченным представителем политической партии. Договоры и соглашения по оплате из специальных счетов кандидата, политических партий не могут заключаться позднее дня, предшествующего дню голосования. Все финансовые операции, в том числе расчеты с физическими и юридическими лицами по специальным счетам, прекращаются в 18 часов дня, предшествующего дню голосования. Расчеты между кандидатом, политической партией и юридическими лицами за выполнение определенных работ (оказание услуг) осуществляются только в безналичном порядке.</w:t>
      </w:r>
    </w:p>
    <w:p>
      <w:pPr>
        <w:spacing w:after="60"/>
        <w:ind w:firstLine="567"/>
        <w:jc w:val="both"/>
      </w:pPr>
      <w:r>
        <w:rPr>
          <w:rFonts w:ascii="Arial" w:cs="Arial" w:eastAsia="Arial" w:hAnsi="Arial"/>
          <w:i/>
          <w:iCs/>
          <w:sz w:val="24"/>
          <w:szCs w:val="24"/>
        </w:rPr>
        <w:t xml:space="preserve">(В редакции </w:t>
      </w:r>
      <w:hyperlink w:history="1" r:id="rIducypfvjknkkpes5zcobq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7.2. Платные работы и услуги, выполняемые гражданами и юридическими лицами должны оформляться в письменной форме (договор, счет-фактура, накладные, акт приема-передачи и др.). Договора должны содержать реквизиты сторон, сведения об объеме поручаемой работы, ее стоимость, расценок по видам работ (калькуляция, смета), порядок оплаты, сроки выполнения работ, ответственность сторон и другие условия. Договоры о привлечении граждан к выполнению работ и оказанию услуг могут быть заключены только с совершеннолетними гражданами Кыргызской Республики. Выполненные работы и услуги должны подтверждаться актами их приемки или накладными документами на отпущенную продукцию, подписанными заказчиком (уполномоченным представителем по финансовым вопросам) и исполнителем.</w:t>
      </w:r>
    </w:p>
    <w:p>
      <w:pPr>
        <w:spacing w:after="60"/>
        <w:ind w:firstLine="567"/>
        <w:jc w:val="both"/>
      </w:pPr>
      <w:r>
        <w:rPr>
          <w:rFonts w:ascii="Arial" w:cs="Arial" w:eastAsia="Arial" w:hAnsi="Arial"/>
          <w:i/>
          <w:iCs/>
          <w:sz w:val="24"/>
          <w:szCs w:val="24"/>
        </w:rPr>
        <w:t xml:space="preserve">(В редакции </w:t>
      </w:r>
      <w:hyperlink w:history="1" r:id="rId7zm2gtksfmg2h09gees0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7.3. Граждане и юридические лица при формировании заказов, связанных с производством, размещением и распространением агитационных предвыборных материалов, представляют в редакцию периодического печатного издания, организацию телерадиовещания, на предприятие, осуществляющее выпуск агитационной продукции, письменное подтверждение согласия уполномоченного представителя по финансовым вопросам на выполнение данных работ (оказание услуг) по </w:t>
      </w:r>
      <w:r>
        <w:rPr>
          <w:rFonts w:ascii="Arial" w:cs="Arial" w:eastAsia="Arial" w:hAnsi="Arial"/>
          <w:sz w:val="24"/>
          <w:szCs w:val="24"/>
        </w:rPr>
        <w:t xml:space="preserve">форме № 6</w:t>
      </w:r>
      <w:r>
        <w:rPr>
          <w:rFonts w:ascii="Arial" w:cs="Arial" w:eastAsia="Arial" w:hAnsi="Arial"/>
          <w:sz w:val="24"/>
          <w:szCs w:val="24"/>
        </w:rPr>
        <w:t xml:space="preserve">, и их оплату из избирательного фонда.</w:t>
      </w:r>
    </w:p>
    <w:p>
      <w:pPr>
        <w:spacing w:after="60"/>
        <w:ind w:firstLine="567"/>
        <w:jc w:val="both"/>
      </w:pPr>
      <w:r>
        <w:rPr>
          <w:rFonts w:ascii="Arial" w:cs="Arial" w:eastAsia="Arial" w:hAnsi="Arial"/>
          <w:i/>
          <w:iCs/>
          <w:sz w:val="24"/>
          <w:szCs w:val="24"/>
        </w:rPr>
        <w:t xml:space="preserve">(В редакции </w:t>
      </w:r>
      <w:hyperlink w:history="1" r:id="rIdvkufhn_tyn6sgvgem9o_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7.4. Запрещается предоставление эфирного времени и изготовление агитационных печатных материалов без предварительной оплаты из средств избирательного фонда.</w:t>
      </w:r>
    </w:p>
    <w:p>
      <w:pPr>
        <w:spacing w:after="60"/>
        <w:ind w:firstLine="567"/>
        <w:jc w:val="both"/>
      </w:pPr>
      <w:r>
        <w:rPr>
          <w:rFonts w:ascii="Arial" w:cs="Arial" w:eastAsia="Arial" w:hAnsi="Arial"/>
          <w:sz w:val="24"/>
          <w:szCs w:val="24"/>
        </w:rPr>
        <w:t xml:space="preserve">7.5. Во всех материалах, помещаемых в периодических печатных изданиях, должна помещаться информация из избирательного фонда какого кандидата, какой политической партии была произведена оплата соответствующих печатных материалов.</w:t>
      </w:r>
    </w:p>
    <w:p>
      <w:pPr>
        <w:spacing w:after="60"/>
        <w:ind w:firstLine="567"/>
        <w:jc w:val="both"/>
      </w:pPr>
      <w:r>
        <w:rPr>
          <w:rFonts w:ascii="Arial" w:cs="Arial" w:eastAsia="Arial" w:hAnsi="Arial"/>
          <w:sz w:val="24"/>
          <w:szCs w:val="24"/>
        </w:rPr>
        <w:t xml:space="preserve">7.6. Граждане и юридические лица вправе оказывать финансовую (материальную) поддержку только через избирательные фонды. Осуществление материальной поддержки предвыборной деятельности путем предоставления материальных ценностей во временное пользование возможно только при условии заключения соответствующих договоров и оплаты за счет средств избирательного фонда.</w:t>
      </w:r>
    </w:p>
    <w:p>
      <w:pPr>
        <w:spacing w:after="60"/>
        <w:ind w:firstLine="567"/>
        <w:jc w:val="both"/>
      </w:pPr>
      <w:r>
        <w:rPr>
          <w:rFonts w:ascii="Arial" w:cs="Arial" w:eastAsia="Arial" w:hAnsi="Arial"/>
          <w:sz w:val="24"/>
          <w:szCs w:val="24"/>
        </w:rPr>
        <w:t xml:space="preserve">7.7. Запрещается бесплатное выполнение или выполнение по необоснованно сниженным расценкам юридическими лицами, их филиалами, представительствами работ, услуг, реализация товаров, прямо или косвенно связанных с выборами, а также физическими лицами.</w:t>
      </w:r>
    </w:p>
    <w:p>
      <w:pPr>
        <w:spacing w:after="200" w:before="200"/>
        <w:jc w:val="center"/>
      </w:pPr>
      <w:r>
        <w:rPr>
          <w:rFonts w:ascii="Arial" w:cs="Arial" w:eastAsia="Arial" w:hAnsi="Arial"/>
          <w:b/>
          <w:bCs/>
          <w:sz w:val="24"/>
          <w:szCs w:val="24"/>
        </w:rPr>
        <w:t xml:space="preserve">8. Избирательный залог</w:t>
      </w:r>
    </w:p>
    <w:p>
      <w:pPr>
        <w:spacing w:after="60"/>
        <w:ind w:firstLine="567"/>
        <w:jc w:val="both"/>
      </w:pPr>
      <w:r>
        <w:rPr>
          <w:rFonts w:ascii="Arial" w:cs="Arial" w:eastAsia="Arial" w:hAnsi="Arial"/>
          <w:sz w:val="24"/>
          <w:szCs w:val="24"/>
        </w:rPr>
        <w:t xml:space="preserve">8.1. Кандидат, политическая партия, выдвинувшая список кандидатов в депутаты в городской кенеш, до регистрации и после проверки представленных документов из средств своих избирательных фондов вносит на депозитный счет Центральной избирательной комиссии избирательный залог.</w:t>
      </w:r>
    </w:p>
    <w:p>
      <w:pPr>
        <w:spacing w:after="60"/>
        <w:ind w:firstLine="567"/>
        <w:jc w:val="both"/>
      </w:pPr>
      <w:r>
        <w:rPr>
          <w:rFonts w:ascii="Arial" w:cs="Arial" w:eastAsia="Arial" w:hAnsi="Arial"/>
          <w:sz w:val="24"/>
          <w:szCs w:val="24"/>
        </w:rPr>
        <w:t xml:space="preserve">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Бишкек и Ош)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3) в айылные кенеши - в десятикратном размере установленного законодательством расчетного показателя.</w:t>
      </w:r>
    </w:p>
    <w:p>
      <w:pPr>
        <w:spacing w:after="60"/>
        <w:ind w:firstLine="567"/>
        <w:jc w:val="both"/>
      </w:pPr>
      <w:r>
        <w:rPr>
          <w:rFonts w:ascii="Arial" w:cs="Arial" w:eastAsia="Arial" w:hAnsi="Arial"/>
          <w:i/>
          <w:iCs/>
          <w:sz w:val="24"/>
          <w:szCs w:val="24"/>
        </w:rPr>
        <w:t xml:space="preserve">(В редакции </w:t>
      </w:r>
      <w:hyperlink w:history="1" r:id="rIdhlzd4nn2xj8ybg0ycf7g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8.2. Кандидат, политическая партия вносит избирательный залог на депозитный счет по указанным Центральной избирательной комиссии реквизитам.</w:t>
      </w:r>
    </w:p>
    <w:p>
      <w:pPr>
        <w:spacing w:after="60"/>
        <w:ind w:firstLine="567"/>
        <w:jc w:val="both"/>
      </w:pPr>
      <w:r>
        <w:rPr>
          <w:rFonts w:ascii="Arial" w:cs="Arial" w:eastAsia="Arial" w:hAnsi="Arial"/>
          <w:i/>
          <w:iCs/>
          <w:sz w:val="24"/>
          <w:szCs w:val="24"/>
        </w:rPr>
        <w:t xml:space="preserve">(В редакции </w:t>
      </w:r>
      <w:hyperlink w:history="1" r:id="rIdear5eteczqyhs9qpbnfo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8.3. Избирательный залог возвращается кандидатам в депутаты,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кандидата, списка кандидатов;</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i/>
          <w:iCs/>
          <w:sz w:val="24"/>
          <w:szCs w:val="24"/>
        </w:rPr>
        <w:t xml:space="preserve">(В редакции </w:t>
      </w:r>
      <w:hyperlink w:history="1" r:id="rIdzck0awg1bqu4tbsapiccv">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8.4. Оставшаяся сумма залога подлежит зачету в республиканский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республиканский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i/>
          <w:iCs/>
          <w:sz w:val="24"/>
          <w:szCs w:val="24"/>
        </w:rPr>
        <w:t xml:space="preserve">(В редакции </w:t>
      </w:r>
      <w:hyperlink w:history="1" r:id="rIdqzlfe2jomm8wy2aupips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9. Отчетность</w:t>
      </w:r>
    </w:p>
    <w:p>
      <w:pPr>
        <w:spacing w:after="60"/>
        <w:ind w:firstLine="567"/>
        <w:jc w:val="both"/>
      </w:pPr>
      <w:r>
        <w:rPr>
          <w:rFonts w:ascii="Arial" w:cs="Arial" w:eastAsia="Arial" w:hAnsi="Arial"/>
          <w:sz w:val="24"/>
          <w:szCs w:val="24"/>
        </w:rPr>
        <w:t xml:space="preserve">9.1. Кандидаты, политические партии обязаны представить в территориальную избирательную комиссию отчет о размерах и всех источниках создания своего избирательного фонда, а также всех произведенных затратах. Отчет представляется на бумажном носителе и в электронной версии (сканированная копия с подписью и печатью) и в формате EXCEL на электронном носителе по Форме № 7 в следующем порядке:</w:t>
      </w:r>
    </w:p>
    <w:p>
      <w:pPr>
        <w:spacing w:after="60"/>
        <w:ind w:firstLine="567"/>
        <w:jc w:val="both"/>
      </w:pPr>
      <w:r>
        <w:rPr>
          <w:rFonts w:ascii="Arial" w:cs="Arial" w:eastAsia="Arial" w:hAnsi="Arial"/>
          <w:sz w:val="24"/>
          <w:szCs w:val="24"/>
        </w:rPr>
        <w:t xml:space="preserve">1) Первый финансовый отчет - одновременно с представлением в территориальную избирательную комиссию документов, подтверждающих внесение избирательного залога (по выборам в городские кенеши).</w:t>
      </w:r>
    </w:p>
    <w:p>
      <w:pPr>
        <w:spacing w:after="60"/>
        <w:ind w:firstLine="567"/>
        <w:jc w:val="both"/>
      </w:pPr>
      <w:r>
        <w:rPr>
          <w:rFonts w:ascii="Arial" w:cs="Arial" w:eastAsia="Arial" w:hAnsi="Arial"/>
          <w:sz w:val="24"/>
          <w:szCs w:val="24"/>
        </w:rPr>
        <w:t xml:space="preserve">2) Второй финансовый отчет (с учетом данных первого финансового отчета) - не позднее, чем за 10 дней до дня голосования.</w:t>
      </w:r>
    </w:p>
    <w:p>
      <w:pPr>
        <w:spacing w:after="60"/>
        <w:ind w:firstLine="567"/>
        <w:jc w:val="both"/>
      </w:pPr>
      <w:r>
        <w:rPr>
          <w:rFonts w:ascii="Arial" w:cs="Arial" w:eastAsia="Arial" w:hAnsi="Arial"/>
          <w:sz w:val="24"/>
          <w:szCs w:val="24"/>
        </w:rPr>
        <w:t xml:space="preserve">3) Третий итоговый финансовый отчет (сводные сведения) - не позднее, чем через 10 дней после дня голосования. Сведения в отчете составляются на дату, предшествующую дате сдачи отчета не более чем на 3 дня. К итоговому финансовому отчету прилагаются:</w:t>
      </w:r>
    </w:p>
    <w:p>
      <w:pPr>
        <w:spacing w:after="60"/>
        <w:ind w:firstLine="567"/>
        <w:jc w:val="both"/>
      </w:pPr>
      <w:r>
        <w:rPr>
          <w:rFonts w:ascii="Arial" w:cs="Arial" w:eastAsia="Arial" w:hAnsi="Arial"/>
          <w:sz w:val="24"/>
          <w:szCs w:val="24"/>
        </w:rPr>
        <w:t xml:space="preserve">- сведения об источниках поступления и расходования средств избирательного фонда (Сведения 1, 2 к форме № 7);</w:t>
      </w:r>
    </w:p>
    <w:p>
      <w:pPr>
        <w:spacing w:after="60"/>
        <w:ind w:firstLine="567"/>
        <w:jc w:val="both"/>
      </w:pPr>
      <w:r>
        <w:rPr>
          <w:rFonts w:ascii="Arial" w:cs="Arial" w:eastAsia="Arial" w:hAnsi="Arial"/>
          <w:sz w:val="24"/>
          <w:szCs w:val="24"/>
        </w:rPr>
        <w:t xml:space="preserve">- первичные финансовые документы (счета-фактуры, договора, накладные, акты приема-передачи, банковские выписки и т.д.) на бумажном носителе, подтверждающие поступление денежных средств на специальный счет и расходование этих средств.</w:t>
      </w:r>
    </w:p>
    <w:p>
      <w:pPr>
        <w:spacing w:after="60"/>
        <w:ind w:firstLine="567"/>
        <w:jc w:val="both"/>
      </w:pPr>
      <w:r>
        <w:rPr>
          <w:rFonts w:ascii="Arial" w:cs="Arial" w:eastAsia="Arial" w:hAnsi="Arial"/>
          <w:i/>
          <w:iCs/>
          <w:sz w:val="24"/>
          <w:szCs w:val="24"/>
        </w:rPr>
        <w:t xml:space="preserve">(В редакции </w:t>
      </w:r>
      <w:hyperlink w:history="1" r:id="rIdfsd7aa6ackyncumr__ea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9.2. Первичные финансовые документы в итоговом финансовом отчете должны быть подобраны в хронологической последовательности, по мере отражения финансовых операций на специальных счетах. При этом за основу принимаются выписки из специальных счетов избирательного фонда, к которым прилагаются необходимые документы, послужившие основанием для зачисления, либо списания денежных средств со счета.</w:t>
      </w:r>
    </w:p>
    <w:p>
      <w:pPr>
        <w:spacing w:after="60"/>
        <w:ind w:firstLine="567"/>
        <w:jc w:val="both"/>
      </w:pPr>
      <w:r>
        <w:rPr>
          <w:rFonts w:ascii="Arial" w:cs="Arial" w:eastAsia="Arial" w:hAnsi="Arial"/>
          <w:i/>
          <w:iCs/>
          <w:sz w:val="24"/>
          <w:szCs w:val="24"/>
        </w:rPr>
        <w:t xml:space="preserve">(В редакции </w:t>
      </w:r>
      <w:hyperlink w:history="1" r:id="rId8nkizmxismdesgnl8vmu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9.3. Итоговый финансовый отчет должен быть представлен в сброшюрованном виде, и иметь сквозную нумерацию страниц, включая приложения. При возникновении вопросов по запросу избирательной комиссии, кандидаты, уполномоченные представители, представляют пояснительную записку к итоговому финансовому отчету.</w:t>
      </w:r>
    </w:p>
    <w:p>
      <w:pPr>
        <w:spacing w:after="60"/>
        <w:ind w:firstLine="567"/>
        <w:jc w:val="both"/>
      </w:pPr>
      <w:r>
        <w:rPr>
          <w:rFonts w:ascii="Arial" w:cs="Arial" w:eastAsia="Arial" w:hAnsi="Arial"/>
          <w:i/>
          <w:iCs/>
          <w:sz w:val="24"/>
          <w:szCs w:val="24"/>
        </w:rPr>
        <w:t xml:space="preserve">(В редакции </w:t>
      </w:r>
      <w:hyperlink w:history="1" r:id="rIdocmwjmxtwg6xospwpgi3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9.4. Финансовый отчет (первый, второй, итоговый) подписывается лично кандидатом и уполномоченным представителем по финансовым вопросам, уполномоченным представителем по финансовым вопросам политической партии. Представление итоговых финансовых отчетов в территориальную избирательную комиссию оформляется актами приема. До сдачи итогового финансового отчета все оставшиеся наличные средства должны быть возвращены жертвователям.</w:t>
      </w:r>
    </w:p>
    <w:p>
      <w:pPr>
        <w:spacing w:after="60"/>
        <w:ind w:firstLine="567"/>
        <w:jc w:val="both"/>
      </w:pPr>
      <w:r>
        <w:rPr>
          <w:rFonts w:ascii="Arial" w:cs="Arial" w:eastAsia="Arial" w:hAnsi="Arial"/>
          <w:i/>
          <w:iCs/>
          <w:sz w:val="24"/>
          <w:szCs w:val="24"/>
        </w:rPr>
        <w:t xml:space="preserve">(В редакции </w:t>
      </w:r>
      <w:hyperlink w:history="1" r:id="rIditwl5l_6ng-r8gms2_3s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9.5. Остатки неизрасходованных денежных средств, находящихся на специальном счете, возвращаются кандидату, политической партии после дня голосования.</w:t>
      </w:r>
    </w:p>
    <w:p>
      <w:pPr>
        <w:spacing w:after="60"/>
        <w:ind w:firstLine="567"/>
        <w:jc w:val="both"/>
      </w:pPr>
      <w:r>
        <w:rPr>
          <w:rFonts w:ascii="Arial" w:cs="Arial" w:eastAsia="Arial" w:hAnsi="Arial"/>
          <w:i/>
          <w:iCs/>
          <w:sz w:val="24"/>
          <w:szCs w:val="24"/>
        </w:rPr>
        <w:t xml:space="preserve">(В редакции </w:t>
      </w:r>
      <w:hyperlink w:history="1" r:id="rIdec3ccqogiq0lozsxqi1i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9.6. Обязанность сдачи финансового отчета кандидата возлагается на него лично, либо на уполномоченного представителя по финансовым вопросам, политической партии - на уполномоченного представителя по финансовым вопросам.</w:t>
      </w:r>
    </w:p>
    <w:p>
      <w:pPr>
        <w:spacing w:after="60"/>
        <w:ind w:firstLine="567"/>
        <w:jc w:val="both"/>
      </w:pPr>
      <w:r>
        <w:rPr>
          <w:rFonts w:ascii="Arial" w:cs="Arial" w:eastAsia="Arial" w:hAnsi="Arial"/>
          <w:sz w:val="24"/>
          <w:szCs w:val="24"/>
        </w:rPr>
        <w:t xml:space="preserve">Ответственность в соответствии с законами Кыргызской Республики, несут лица не представившие или не публикующие финансовые отчеты избирательных фондов кандидатов, политических партий.</w:t>
      </w:r>
    </w:p>
    <w:p>
      <w:pPr>
        <w:spacing w:after="60"/>
        <w:ind w:firstLine="567"/>
        <w:jc w:val="both"/>
      </w:pPr>
      <w:r>
        <w:rPr>
          <w:rFonts w:ascii="Arial" w:cs="Arial" w:eastAsia="Arial" w:hAnsi="Arial"/>
          <w:i/>
          <w:iCs/>
          <w:sz w:val="24"/>
          <w:szCs w:val="24"/>
        </w:rPr>
        <w:t xml:space="preserve">(В редакции </w:t>
      </w:r>
      <w:hyperlink w:history="1" r:id="rIdgxsz0bpf4ormymnfesx0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200" w:before="200"/>
        <w:jc w:val="center"/>
      </w:pPr>
      <w:r>
        <w:rPr>
          <w:rFonts w:ascii="Arial" w:cs="Arial" w:eastAsia="Arial" w:hAnsi="Arial"/>
          <w:b/>
          <w:bCs/>
          <w:sz w:val="24"/>
          <w:szCs w:val="24"/>
        </w:rPr>
        <w:t xml:space="preserve">10. Ответственность за нарушения финансовой дисциплины</w:t>
      </w:r>
    </w:p>
    <w:p>
      <w:pPr>
        <w:spacing w:after="60"/>
        <w:ind w:firstLine="567"/>
        <w:jc w:val="both"/>
      </w:pPr>
      <w:r>
        <w:rPr>
          <w:rFonts w:ascii="Arial" w:cs="Arial" w:eastAsia="Arial" w:hAnsi="Arial"/>
          <w:sz w:val="24"/>
          <w:szCs w:val="24"/>
        </w:rPr>
        <w:t xml:space="preserve">10.1. Ответственность за нарушение порядка формирования и использования средств избирательного фонда, несвоевременное представление отчетности по установленным настоящей Инструкцией формам и недостоверность данных, содержащихся в финансовых отчетах несет кандидат, уполномоченный представитель кандидата, политической партии по финансовым вопросам.</w:t>
      </w:r>
    </w:p>
    <w:p>
      <w:pPr>
        <w:spacing w:after="60"/>
        <w:ind w:firstLine="567"/>
        <w:jc w:val="both"/>
      </w:pPr>
      <w:r>
        <w:rPr>
          <w:rFonts w:ascii="Arial" w:cs="Arial" w:eastAsia="Arial" w:hAnsi="Arial"/>
          <w:i/>
          <w:iCs/>
          <w:sz w:val="24"/>
          <w:szCs w:val="24"/>
        </w:rPr>
        <w:t xml:space="preserve">(В редакции </w:t>
      </w:r>
      <w:hyperlink w:history="1" r:id="rIdunqxud9fevvw-5p8dur5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10.2. В случае использования кандидатом, политической партией на выборах депутатов местных кенешей при финансировании своей избирательной кампании помимо средств избирательного фонда иных денежных средств, составляющих более 0,5 процента от общей суммы денежных средств, поступивших в избирательный фонд кандидата, политической партии, либо превышения кандидатом, политической партией расходов из средств своего избирательного фонда более чем на 0,5 процента от установленной предельной суммы всех расходов из средств избирательного фонда кандидата, политической партии территориальная избирательная комиссия вправе отменить регистрацию кандидата, списка кандидатов.</w:t>
      </w:r>
    </w:p>
    <w:p>
      <w:pPr>
        <w:spacing w:after="60"/>
        <w:ind w:firstLine="567"/>
        <w:jc w:val="both"/>
      </w:pPr>
      <w:r>
        <w:rPr>
          <w:rFonts w:ascii="Arial" w:cs="Arial" w:eastAsia="Arial" w:hAnsi="Arial"/>
          <w:i/>
          <w:iCs/>
          <w:sz w:val="24"/>
          <w:szCs w:val="24"/>
        </w:rPr>
        <w:t xml:space="preserve">(В редакции </w:t>
      </w:r>
      <w:hyperlink w:history="1" r:id="rIdw5wypgvsidlwx9nhlqpc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60"/>
        <w:ind w:firstLine="567"/>
        <w:jc w:val="both"/>
      </w:pPr>
      <w:r>
        <w:rPr>
          <w:rFonts w:ascii="Arial" w:cs="Arial" w:eastAsia="Arial" w:hAnsi="Arial"/>
          <w:sz w:val="24"/>
          <w:szCs w:val="24"/>
        </w:rPr>
        <w:t xml:space="preserve">10.3. В целях установления факта нарушения, избирательные комиссии вправе обратиться за содействием в органы государственной власти, правоохранительные органы, органы местного самоуправления, учреждения, организации, предприятия.</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 (В редакции </w:t>
      </w:r>
      <w:hyperlink w:history="1" r:id="rIdicepudqs6igwz5u_npaf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22 января 2020 года № 10)</w:t>
      </w:r>
    </w:p>
    <w:p>
      <w:pPr>
        <w:spacing w:after="120"/>
        <w:jc w:val="right"/>
      </w:pPr>
      <w:r>
        <w:rPr>
          <w:rFonts w:ascii="Arial" w:cs="Arial" w:eastAsia="Arial" w:hAnsi="Arial"/>
          <w:b/>
          <w:bCs/>
          <w:sz w:val="24"/>
          <w:szCs w:val="24"/>
        </w:rPr>
        <w:t xml:space="preserve">Форма №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В __________</w:t>
      </w:r>
      <w:r>
        <w:rPr>
          <w:rFonts w:ascii="Arial" w:cs="Arial" w:eastAsia="Arial" w:hAnsi="Arial"/>
          <w:sz w:val="24"/>
          <w:szCs w:val="24"/>
        </w:rPr>
        <w:t xml:space="preserve">____</w:t>
      </w:r>
      <w:r>
        <w:rPr>
          <w:rFonts w:ascii="Arial" w:cs="Arial" w:eastAsia="Arial" w:hAnsi="Arial"/>
          <w:sz w:val="24"/>
          <w:szCs w:val="24"/>
        </w:rPr>
        <w:t xml:space="preserve">_________________________
 территориальную избирательную комиссию</w:t>
      </w:r>
    </w:p>
    <w:p>
      <w:pPr>
        <w:spacing w:after="120"/>
        <w:jc w:val="center"/>
      </w:pPr>
      <w:r>
        <w:rPr>
          <w:rFonts w:ascii="Arial" w:cs="Arial" w:eastAsia="Arial" w:hAnsi="Arial"/>
          <w:sz w:val="24"/>
          <w:szCs w:val="24"/>
        </w:rPr>
        <w:t xml:space="preserve">От ______________________________________
 (ФИО кандидата, наименование политической партии/регионального (территориального) отделения)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
 на открытие специального счета</w:t>
      </w:r>
    </w:p>
    <w:p>
      <w:pPr>
        <w:spacing w:after="120"/>
        <w:jc w:val="both"/>
      </w:pPr>
      <w:r>
        <w:rPr>
          <w:rFonts w:ascii="Arial" w:cs="Arial" w:eastAsia="Arial" w:hAnsi="Arial"/>
          <w:sz w:val="24"/>
          <w:szCs w:val="24"/>
        </w:rPr>
        <w:t xml:space="preserve">Просим разрешить оформить документы на открытие специального счета для формирования своего избирательного фонда в</w:t>
      </w:r>
    </w:p>
    <w:p>
      <w:pPr>
        <w:spacing w:after="120"/>
        <w:jc w:val="left"/>
      </w:pPr>
      <w:r>
        <w:rPr>
          <w:rFonts w:ascii="Arial" w:cs="Arial" w:eastAsia="Arial" w:hAnsi="Arial"/>
          <w:sz w:val="24"/>
          <w:szCs w:val="24"/>
        </w:rPr>
        <w:t xml:space="preserve">________________________________________________________________________________
                           (наименование банковского учреждения, юридический адрес)</w:t>
      </w:r>
    </w:p>
    <w:p>
      <w:pPr>
        <w:spacing w:after="120"/>
        <w:jc w:val="both"/>
      </w:pPr>
      <w:r>
        <w:rPr>
          <w:rFonts w:ascii="Arial" w:cs="Arial" w:eastAsia="Arial" w:hAnsi="Arial"/>
          <w:sz w:val="24"/>
          <w:szCs w:val="24"/>
        </w:rPr>
        <w:t xml:space="preserve">Лицом, уполномоченным распоряжаться денежными средствами избирательного фонда, является: </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кандидата/политической партии
                                                      по финансовым вопросам)</w:t>
      </w:r>
    </w:p>
    <w:p>
      <w:pPr>
        <w:spacing w:after="120"/>
        <w:jc w:val="both"/>
      </w:pPr>
      <w:r>
        <w:rPr>
          <w:rFonts w:ascii="Arial" w:cs="Arial" w:eastAsia="Arial" w:hAnsi="Arial"/>
          <w:sz w:val="24"/>
          <w:szCs w:val="24"/>
        </w:rPr>
        <w:t xml:space="preserve">С законодательством о выборах в Кыргызской Республике, с Инструкцией "О порядке формирования, учета поступления и расходования денежных средств избирательного фонда политической партии при проведении выборов депутатов местных кенешей", утвержденной постановлением Центральной избирательной комиссии Кыргызской Республики, ознакомлены.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В ___________________________________
 (наименование банковского учреждения)</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Об открытии специального счета</w:t>
      </w:r>
    </w:p>
    <w:p>
      <w:pPr>
        <w:spacing w:after="120"/>
        <w:jc w:val="both"/>
      </w:pPr>
      <w:r>
        <w:rPr>
          <w:rFonts w:ascii="Arial" w:cs="Arial" w:eastAsia="Arial" w:hAnsi="Arial"/>
          <w:sz w:val="24"/>
          <w:szCs w:val="24"/>
        </w:rPr>
        <w:t xml:space="preserve">В соответствии с пунктом 8 статьи 15 Закона Кыргызской Республики "О выборах депутатов местных кенешей"</w:t>
      </w:r>
    </w:p>
    <w:p>
      <w:pPr>
        <w:spacing w:after="120"/>
        <w:jc w:val="left"/>
      </w:pPr>
      <w:r>
        <w:rPr>
          <w:rFonts w:ascii="Arial" w:cs="Arial" w:eastAsia="Arial" w:hAnsi="Arial"/>
          <w:sz w:val="24"/>
          <w:szCs w:val="24"/>
        </w:rPr>
        <w:t xml:space="preserve">________________________________________________________________________________
                           (наименование территориальной избирательной комиссии)</w:t>
      </w:r>
    </w:p>
    <w:p>
      <w:pPr>
        <w:spacing w:after="120"/>
        <w:jc w:val="both"/>
      </w:pPr>
      <w:r>
        <w:rPr>
          <w:rFonts w:ascii="Arial" w:cs="Arial" w:eastAsia="Arial" w:hAnsi="Arial"/>
          <w:sz w:val="24"/>
          <w:szCs w:val="24"/>
        </w:rPr>
        <w:t xml:space="preserve">территориальная избирательная комиссия разрешает открыть специальный счет для формирования избирательного фонда</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 (территориального)
                                                                      отделения)</w:t>
      </w:r>
    </w:p>
    <w:p>
      <w:pPr>
        <w:spacing w:after="120"/>
        <w:jc w:val="both"/>
      </w:pPr>
      <w:r>
        <w:rPr>
          <w:rFonts w:ascii="Arial" w:cs="Arial" w:eastAsia="Arial" w:hAnsi="Arial"/>
          <w:sz w:val="24"/>
          <w:szCs w:val="24"/>
        </w:rPr>
        <w:t xml:space="preserve">Уполномоченный распоряжаться денежными средствами избирательного фонда кандидата, политической партии:</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кандидата/политической партии
                                                   по финансовым вопросам)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
 </w:t>
      </w:r>
      <w:r>
        <w:rPr>
          <w:rFonts w:ascii="Arial" w:cs="Arial" w:eastAsia="Arial" w:hAnsi="Arial"/>
          <w:sz w:val="24"/>
          <w:szCs w:val="24"/>
        </w:rPr>
        <w:t xml:space="preserve">(</w:t>
      </w:r>
      <w:r>
        <w:rPr>
          <w:rFonts w:ascii="Arial" w:cs="Arial" w:eastAsia="Arial" w:hAnsi="Arial"/>
          <w:sz w:val="24"/>
          <w:szCs w:val="24"/>
        </w:rPr>
        <w:t xml:space="preserve">ФИО</w:t>
      </w:r>
      <w:r>
        <w:rPr>
          <w:rFonts w:ascii="Arial" w:cs="Arial" w:eastAsia="Arial" w:hAnsi="Arial"/>
          <w:sz w:val="24"/>
          <w:szCs w:val="24"/>
        </w:rPr>
        <w:t xml:space="preserve">)</w:t>
      </w:r>
      <w:r>
        <w:rPr>
          <w:rFonts w:ascii="Arial" w:cs="Arial" w:eastAsia="Arial" w:hAnsi="Arial"/>
          <w:sz w:val="24"/>
          <w:szCs w:val="24"/>
        </w:rPr>
        <w:t xml:space="preserve">                (должность)</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sz w:val="24"/>
          <w:szCs w:val="24"/>
        </w:rPr>
        <w:t xml:space="preserve">"______" ________________ 20__ г.
 (дата проведения голосования)</w:t>
      </w:r>
    </w:p>
    <w:p>
      <w:pPr>
        <w:spacing w:after="120"/>
        <w:jc w:val="center"/>
      </w:pPr>
      <w:r>
        <w:rPr>
          <w:rFonts w:ascii="Arial" w:cs="Arial" w:eastAsia="Arial" w:hAnsi="Arial"/>
          <w:sz w:val="24"/>
          <w:szCs w:val="24"/>
        </w:rPr>
        <w:t xml:space="preserve">В __________</w:t>
      </w:r>
      <w:r>
        <w:rPr>
          <w:rFonts w:ascii="Arial" w:cs="Arial" w:eastAsia="Arial" w:hAnsi="Arial"/>
          <w:sz w:val="24"/>
          <w:szCs w:val="24"/>
        </w:rPr>
        <w:t xml:space="preserve">____</w:t>
      </w:r>
      <w:r>
        <w:rPr>
          <w:rFonts w:ascii="Arial" w:cs="Arial" w:eastAsia="Arial" w:hAnsi="Arial"/>
          <w:sz w:val="24"/>
          <w:szCs w:val="24"/>
        </w:rPr>
        <w:t xml:space="preserve">_________________________
 территориальную избирательную комиссию</w:t>
      </w:r>
    </w:p>
    <w:p>
      <w:pPr>
        <w:spacing w:after="120"/>
        <w:jc w:val="center"/>
      </w:pPr>
      <w:r>
        <w:rPr>
          <w:rFonts w:ascii="Arial" w:cs="Arial" w:eastAsia="Arial" w:hAnsi="Arial"/>
          <w:sz w:val="24"/>
          <w:szCs w:val="24"/>
        </w:rPr>
        <w:t xml:space="preserve">От ______________________________________
 (ФИО кандидата, наименование политической партии/регионального (территориального) отделения)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 реквизитах специального счета в банковском учреждении</w:t>
      </w:r>
    </w:p>
    <w:p>
      <w:pPr>
        <w:spacing w:after="120"/>
        <w:jc w:val="both"/>
      </w:pPr>
      <w:r>
        <w:rPr>
          <w:rFonts w:ascii="Arial" w:cs="Arial" w:eastAsia="Arial" w:hAnsi="Arial"/>
          <w:sz w:val="24"/>
          <w:szCs w:val="24"/>
        </w:rPr>
        <w:t xml:space="preserve">Сообщаю о том, что для проведения предвыборной кампании в __________________________</w:t>
      </w:r>
    </w:p>
    <w:p>
      <w:pPr>
        <w:spacing w:after="120"/>
        <w:jc w:val="left"/>
      </w:pPr>
      <w:r>
        <w:rPr>
          <w:rFonts w:ascii="Arial" w:cs="Arial" w:eastAsia="Arial" w:hAnsi="Arial"/>
          <w:sz w:val="24"/>
          <w:szCs w:val="24"/>
        </w:rPr>
        <w:t xml:space="preserve">________________________________________________________________________________
                                   (наименование банковского учреждения)</w:t>
      </w:r>
    </w:p>
    <w:p>
      <w:pPr>
        <w:spacing w:after="120"/>
        <w:jc w:val="both"/>
      </w:pPr>
      <w:r>
        <w:rPr>
          <w:rFonts w:ascii="Arial" w:cs="Arial" w:eastAsia="Arial" w:hAnsi="Arial"/>
          <w:sz w:val="24"/>
          <w:szCs w:val="24"/>
        </w:rPr>
        <w:t xml:space="preserve">открыт специальный счет № 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4</w:t>
      </w:r>
    </w:p>
    <w:p>
      <w:pPr>
        <w:spacing w:after="400" w:before="4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24"/>
          <w:szCs w:val="24"/>
        </w:rPr>
        <w:t xml:space="preserve">УЧЕТ
 поступления и расходования денежных средств избирательного фонда кандидата, политической партии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60" w:before="200"/>
        <w:jc w:val="center"/>
      </w:pPr>
      <w:r>
        <w:rPr>
          <w:rFonts w:ascii="Arial" w:cs="Arial" w:eastAsia="Arial" w:hAnsi="Arial"/>
          <w:b/>
          <w:bCs/>
          <w:sz w:val="32"/>
          <w:szCs w:val="32"/>
        </w:rPr>
        <w:t xml:space="preserve">1. Поступило средств в избирательный фонд</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17"/>
        <w:gridCol w:w="1470"/>
        <w:gridCol w:w="1574"/>
        <w:gridCol w:w="1531"/>
        <w:gridCol w:w="2074"/>
        <w:gridCol w:w="2113"/>
      </w:tblGrid>
      <w:tr>
        <w:tc>
          <w:tcPr>
            <w:tcW w:type="dxa" w:w="1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поступления средств (сом)</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21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поступившие с нарушением установленного порядка и подлежащие возврату</w:t>
            </w:r>
          </w:p>
        </w:tc>
      </w:tr>
      <w:tr>
        <w:tc>
          <w:tcPr>
            <w:tcW w:type="dxa" w:w="1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Возвращено, перечислено в бюджет из средств избирательного фонда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5"/>
        <w:gridCol w:w="1570"/>
        <w:gridCol w:w="1323"/>
        <w:gridCol w:w="1376"/>
        <w:gridCol w:w="1346"/>
        <w:gridCol w:w="1570"/>
        <w:gridCol w:w="1777"/>
      </w:tblGrid>
      <w:tr>
        <w:tc>
          <w:tcPr>
            <w:tcW w:type="dxa" w:w="12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счет</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возврата (перечисления) средств со счета</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средств</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перечислено в бюджет средств (сом)</w:t>
            </w:r>
          </w:p>
        </w:tc>
        <w:tc>
          <w:tcPr>
            <w:tcW w:type="dxa" w:w="1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возврата (перечисления)</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расходование средств</w:t>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3. Израсходовано из средств избирательного фонда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6"/>
        <w:gridCol w:w="1114"/>
        <w:gridCol w:w="1102"/>
        <w:gridCol w:w="623"/>
        <w:gridCol w:w="874"/>
        <w:gridCol w:w="1421"/>
        <w:gridCol w:w="1157"/>
        <w:gridCol w:w="1531"/>
        <w:gridCol w:w="1440"/>
      </w:tblGrid>
      <w:tr>
        <w:tc>
          <w:tcPr>
            <w:tcW w:type="dxa" w:w="9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перечислены средства</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расходов (описание расхода)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расход</w:t>
            </w:r>
          </w:p>
        </w:tc>
        <w:tc>
          <w:tcPr>
            <w:tcW w:type="dxa" w:w="1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перечисления денежных средств</w:t>
            </w:r>
          </w:p>
        </w:tc>
        <w:tc>
          <w:tcPr>
            <w:tcW w:type="dxa" w:w="15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ошибочно перечисленных, неиспользованных средств перечисленных в фонд (сом)</w:t>
            </w:r>
          </w:p>
        </w:tc>
        <w:tc>
          <w:tcPr>
            <w:tcW w:type="dxa" w:w="1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фактически израсходованных средств (сом)</w:t>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5</w:t>
      </w:r>
    </w:p>
    <w:p>
      <w:pPr>
        <w:spacing w:after="400" w:before="4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24"/>
          <w:szCs w:val="24"/>
        </w:rPr>
        <w:t xml:space="preserve">СВЕДЕНИЯ
 о поступлении и расходовании денежных средств,
 находящихся на специальном счете избирательного фонда кандидата, политической партии
 (предоставляются банковским учреждением)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200"/>
        <w:jc w:val="center"/>
      </w:pPr>
      <w:r>
        <w:rPr>
          <w:rFonts w:ascii="Arial" w:cs="Arial" w:eastAsia="Arial" w:hAnsi="Arial"/>
          <w:i/>
          <w:iCs/>
          <w:sz w:val="24"/>
          <w:szCs w:val="24"/>
        </w:rPr>
        <w:t xml:space="preserve">(В редакции </w:t>
      </w:r>
      <w:hyperlink w:history="1" r:id="rIdzphfprdkftim3rfp5e9d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75)</w:t>
      </w:r>
    </w:p>
    <w:p>
      <w:pPr>
        <w:spacing w:after="120"/>
        <w:ind w:firstLine="567"/>
        <w:jc w:val="both"/>
      </w:pPr>
      <w:r>
        <w:rPr>
          <w:rFonts w:ascii="Arial" w:cs="Arial" w:eastAsia="Arial" w:hAnsi="Arial"/>
          <w:sz w:val="24"/>
          <w:szCs w:val="24"/>
        </w:rPr>
        <w:t xml:space="preserve">Поступило средств за период с "___" ___________ 20__ г. по "___"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1"/>
        <w:gridCol w:w="1592"/>
        <w:gridCol w:w="2066"/>
        <w:gridCol w:w="749"/>
        <w:gridCol w:w="1203"/>
        <w:gridCol w:w="1690"/>
        <w:gridCol w:w="1688"/>
      </w:tblGrid>
      <w:tr>
        <w:tc>
          <w:tcPr>
            <w:tcW w:type="dxa" w:w="11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(наименование юридического лица/ФИО физического лица)</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идентифицирующие юридическое или физическое лицо, осуществившее перечисление средств</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поступлений</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подтверждающий поступление средств</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согласия вносителя на опубликование сведений (есть/нет)</w:t>
            </w:r>
          </w:p>
        </w:tc>
      </w:tr>
      <w:tr>
        <w:tc>
          <w:tcPr>
            <w:tcW w:type="dxa" w:w="1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9"/>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Израсходовано средств за период с "___" ___________ 20__ г. по "___" 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4"/>
        <w:gridCol w:w="2469"/>
        <w:gridCol w:w="1291"/>
        <w:gridCol w:w="835"/>
        <w:gridCol w:w="930"/>
        <w:gridCol w:w="1470"/>
        <w:gridCol w:w="1470"/>
      </w:tblGrid>
      <w:tr>
        <w:tc>
          <w:tcPr>
            <w:tcW w:type="dxa" w:w="1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 с расчетного счета</w:t>
            </w:r>
          </w:p>
        </w:tc>
        <w:tc>
          <w:tcPr>
            <w:tcW w:type="dxa" w:w="24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(наименование юридического лица/ФИО физического</w:t>
            </w:r>
            <w:r>
              <w:rPr>
                <w:rFonts w:ascii="Arial" w:cs="Arial" w:eastAsia="Arial" w:hAnsi="Arial"/>
                <w:b/>
                <w:bCs/>
                <w:sz w:val="24"/>
                <w:szCs w:val="24"/>
              </w:rPr>
              <w:t xml:space="preserve">лица)</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расхода</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расхода средств</w:t>
            </w:r>
          </w:p>
        </w:tc>
        <w:tc>
          <w:tcPr>
            <w:tcW w:type="dxa" w:w="1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согласия вносителя на опубликование сведений (есть/нет)</w:t>
            </w:r>
          </w:p>
        </w:tc>
      </w:tr>
      <w:tr>
        <w:tc>
          <w:tcPr>
            <w:tcW w:type="dxa" w:w="17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09"/>
            <w:gridSpan w:val="4"/>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93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должность управляющего банком)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w:t>
      </w:r>
      <w:r>
        <w:rPr>
          <w:rFonts w:ascii="Arial" w:cs="Arial" w:eastAsia="Arial" w:hAnsi="Arial"/>
          <w:sz w:val="24"/>
          <w:szCs w:val="24"/>
        </w:rPr>
        <w:t xml:space="preserve">__</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 20_</w:t>
      </w:r>
      <w:r>
        <w:rPr>
          <w:rFonts w:ascii="Arial" w:cs="Arial" w:eastAsia="Arial" w:hAnsi="Arial"/>
          <w:sz w:val="24"/>
          <w:szCs w:val="24"/>
        </w:rPr>
        <w:t xml:space="preserve">_ </w:t>
      </w:r>
      <w:r>
        <w:rPr>
          <w:rFonts w:ascii="Arial" w:cs="Arial" w:eastAsia="Arial" w:hAnsi="Arial"/>
          <w:sz w:val="24"/>
          <w:szCs w:val="24"/>
        </w:rPr>
        <w:t xml:space="preserve">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 5А</w:t>
      </w:r>
    </w:p>
    <w:p>
      <w:pPr>
        <w:spacing w:after="200" w:before="200"/>
        <w:jc w:val="center"/>
      </w:pPr>
      <w:r>
        <w:rPr>
          <w:rFonts w:ascii="Arial" w:cs="Arial" w:eastAsia="Arial" w:hAnsi="Arial"/>
          <w:b/>
          <w:bCs/>
          <w:sz w:val="32"/>
          <w:szCs w:val="32"/>
        </w:rPr>
        <w:t xml:space="preserve">Выборы депутатов местных кенешей</w:t>
      </w:r>
    </w:p>
    <w:p>
      <w:pPr>
        <w:spacing w:after="400" w:before="400"/>
        <w:jc w:val="center"/>
      </w:pPr>
      <w:r>
        <w:rPr>
          <w:rFonts w:ascii="Arial" w:cs="Arial" w:eastAsia="Arial" w:hAnsi="Arial"/>
          <w:b/>
          <w:bCs/>
          <w:sz w:val="32"/>
          <w:szCs w:val="32"/>
        </w:rPr>
        <w:t xml:space="preserve">СВЕДЕНИЯ
 о поступлении и расходовании денежных средств, находящихся на специальном счете избирательного фонда кандидата, политической партии для опубликования на официальном сайте Центральной комиссии по выборам и проведению референдумов</w:t>
      </w:r>
    </w:p>
    <w:p>
      <w:pPr>
        <w:spacing w:after="200"/>
        <w:jc w:val="center"/>
      </w:pPr>
      <w:r>
        <w:rPr>
          <w:rFonts w:ascii="Arial" w:cs="Arial" w:eastAsia="Arial" w:hAnsi="Arial"/>
          <w:i/>
          <w:iCs/>
          <w:sz w:val="24"/>
          <w:szCs w:val="24"/>
        </w:rPr>
        <w:t xml:space="preserve">(В редакции </w:t>
      </w:r>
      <w:hyperlink w:history="1" r:id="rIdic3qnxgdvpalvjv460hx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12 марта 2020 года № 75)</w:t>
      </w:r>
    </w:p>
    <w:p>
      <w:pPr>
        <w:spacing w:after="120"/>
        <w:ind w:firstLine="567"/>
        <w:jc w:val="both"/>
      </w:pPr>
      <w:r>
        <w:rPr>
          <w:rFonts w:ascii="Arial" w:cs="Arial" w:eastAsia="Arial" w:hAnsi="Arial"/>
          <w:sz w:val="24"/>
          <w:szCs w:val="24"/>
        </w:rPr>
        <w:t xml:space="preserve">Поступило средств за период с "___" ___________________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6"/>
        <w:gridCol w:w="3672"/>
        <w:gridCol w:w="3880"/>
      </w:tblGrid>
      <w:tr>
        <w:tc>
          <w:tcPr>
            <w:tcW w:type="dxa" w:w="26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средств на расчетный счет</w:t>
            </w:r>
          </w:p>
        </w:tc>
        <w:tc>
          <w:tcPr>
            <w:tcW w:type="dxa" w:w="3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(наименование юридического лица/ФИО физического лица)</w:t>
            </w:r>
          </w:p>
        </w:tc>
        <w:tc>
          <w:tcPr>
            <w:tcW w:type="dxa" w:w="38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2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98"/>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9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Израсходовано средств за период с "___" _____________________ 20__ г. по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5"/>
        <w:gridCol w:w="3642"/>
        <w:gridCol w:w="1985"/>
        <w:gridCol w:w="1777"/>
      </w:tblGrid>
      <w:tr>
        <w:tc>
          <w:tcPr>
            <w:tcW w:type="dxa" w:w="27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расходной операции с расчетного счета</w:t>
            </w:r>
          </w:p>
        </w:tc>
        <w:tc>
          <w:tcPr>
            <w:tcW w:type="dxa" w:w="3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(наименование юридического лица/ФИО физического лица)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 платежа</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27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7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417"/>
            <w:gridSpan w:val="2"/>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376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w:t>
      </w:r>
      <w:r>
        <w:rPr>
          <w:rFonts w:ascii="Arial" w:cs="Arial" w:eastAsia="Arial" w:hAnsi="Arial"/>
          <w:b/>
          <w:bCs/>
          <w:sz w:val="24"/>
          <w:szCs w:val="24"/>
        </w:rPr>
        <w:t xml:space="preserve">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Выборы депутатов местных кенешей</w:t>
      </w:r>
    </w:p>
    <w:p>
      <w:pPr>
        <w:spacing w:after="120"/>
        <w:jc w:val="center"/>
      </w:pPr>
      <w:r>
        <w:rPr>
          <w:rFonts w:ascii="Arial" w:cs="Arial" w:eastAsia="Arial" w:hAnsi="Arial"/>
          <w:b/>
          <w:bCs/>
          <w:sz w:val="24"/>
          <w:szCs w:val="24"/>
        </w:rPr>
        <w:t xml:space="preserve">ПОДТВЕРЖДЕНИЕ
 согласия кандидата/политической партии</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w:t>
      </w:r>
    </w:p>
    <w:p>
      <w:pPr>
        <w:spacing w:after="120"/>
        <w:jc w:val="left"/>
      </w:pPr>
      <w:r>
        <w:rPr>
          <w:rFonts w:ascii="Arial" w:cs="Arial" w:eastAsia="Arial" w:hAnsi="Arial"/>
          <w:sz w:val="24"/>
          <w:szCs w:val="24"/>
        </w:rPr>
        <w:t xml:space="preserve">________________________________________________________________________________
                  </w:t>
      </w:r>
      <w:r>
        <w:rPr>
          <w:rFonts w:ascii="Arial" w:cs="Arial" w:eastAsia="Arial" w:hAnsi="Arial"/>
          <w:sz w:val="24"/>
          <w:szCs w:val="24"/>
        </w:rPr>
        <w:t xml:space="preserve">         (территориального) отделения)</w:t>
      </w:r>
    </w:p>
    <w:p>
      <w:pPr>
        <w:spacing w:after="120"/>
        <w:jc w:val="left"/>
      </w:pPr>
      <w:r>
        <w:rPr>
          <w:rFonts w:ascii="Arial" w:cs="Arial" w:eastAsia="Arial" w:hAnsi="Arial"/>
          <w:sz w:val="24"/>
          <w:szCs w:val="24"/>
        </w:rPr>
        <w:t xml:space="preserve">________________________________________________________________________________
              (ФИО кандидата, уполномоченного представителя по финансовым вопросам)</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(реквизиты специального счета)</w:t>
      </w:r>
    </w:p>
    <w:p>
      <w:pPr>
        <w:spacing w:after="120"/>
        <w:jc w:val="both"/>
      </w:pPr>
      <w:r>
        <w:rPr>
          <w:rFonts w:ascii="Arial" w:cs="Arial" w:eastAsia="Arial" w:hAnsi="Arial"/>
          <w:sz w:val="24"/>
          <w:szCs w:val="24"/>
        </w:rPr>
        <w:t xml:space="preserve">дают(ет) согласие </w:t>
      </w: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(ФИО гражданина, наименование организации)</w:t>
      </w:r>
    </w:p>
    <w:p>
      <w:pPr>
        <w:spacing w:after="120"/>
        <w:jc w:val="both"/>
      </w:pPr>
      <w:r>
        <w:rPr>
          <w:rFonts w:ascii="Arial" w:cs="Arial" w:eastAsia="Arial" w:hAnsi="Arial"/>
          <w:sz w:val="24"/>
          <w:szCs w:val="24"/>
        </w:rPr>
        <w:t xml:space="preserve">на выполнение работ (реализацию товаров, оказание услуг) согласно договору № __________</w:t>
      </w:r>
    </w:p>
    <w:p>
      <w:pPr>
        <w:spacing w:after="120"/>
        <w:jc w:val="both"/>
      </w:pPr>
      <w:r>
        <w:rPr>
          <w:rFonts w:ascii="Arial" w:cs="Arial" w:eastAsia="Arial" w:hAnsi="Arial"/>
          <w:sz w:val="24"/>
          <w:szCs w:val="24"/>
        </w:rPr>
        <w:t xml:space="preserve">от "____" ___________ 20__ года и их оплату за счет средств избирательного фонда, а также на распространение агитационных печатных материалов.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кандидата/уполномоченного представителя
    кандидата/представителя 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7</w:t>
      </w:r>
    </w:p>
    <w:p>
      <w:pPr>
        <w:spacing w:after="400" w:before="400"/>
        <w:jc w:val="center"/>
      </w:pPr>
      <w:r>
        <w:rPr>
          <w:rFonts w:ascii="Arial" w:cs="Arial" w:eastAsia="Arial" w:hAnsi="Arial"/>
          <w:b/>
          <w:bCs/>
          <w:sz w:val="24"/>
          <w:szCs w:val="24"/>
        </w:rPr>
        <w:t xml:space="preserve">ФИНАНСОВЫЙ ОТЧЕТ
 </w:t>
      </w:r>
      <w:r>
        <w:rPr>
          <w:rFonts w:ascii="Arial" w:cs="Arial" w:eastAsia="Arial" w:hAnsi="Arial"/>
          <w:sz w:val="24"/>
          <w:szCs w:val="24"/>
        </w:rPr>
        <w:t xml:space="preserve">_____________________________________________________
 первый, второй, итоговый (сводные сведения)</w:t>
      </w:r>
    </w:p>
    <w:p>
      <w:pPr>
        <w:spacing w:after="400" w:before="400"/>
        <w:jc w:val="center"/>
      </w:pPr>
      <w:r>
        <w:rPr>
          <w:rFonts w:ascii="Arial" w:cs="Arial" w:eastAsia="Arial" w:hAnsi="Arial"/>
          <w:b/>
          <w:bCs/>
          <w:sz w:val="24"/>
          <w:szCs w:val="24"/>
        </w:rPr>
        <w:t xml:space="preserve">о поступлении и расходовании средств избирательного фонда кандидата/политической партии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________________________________________________________________________________________________
 ФИО кандидата, наименование политической партии/регионального (территориального) отделения
 __________________________________________________________________________________
 (реквизиты специального счета)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4"/>
        <w:gridCol w:w="5983"/>
        <w:gridCol w:w="999"/>
        <w:gridCol w:w="1036"/>
        <w:gridCol w:w="1376"/>
      </w:tblGrid>
      <w:tr>
        <w:tc>
          <w:tcPr>
            <w:tcW w:type="dxa" w:w="7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поступления средств и виды расходов</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начало отчетного периода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Поступило средств в избирательный фонд,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в установленном порядке, в том числе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кандидата, включенного в список кандидатов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политической партии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юридических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пожертвования физических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с нарушением пунктов 4, 5 статьи 15 Закона КР "О выборах депутатов местных кенешей", в том числе от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Физических лиц</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Поступившие суммы возвращенных избирательных залогов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запрещенные законом поступления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денежных средств,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Перечислено в доход республиканского бюджета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 жертвователям,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Юридическим лицам, которым запрещено осуществлять пожертвования либо не указавшим обязательные сведения в платежном документе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Физическим лицам, которым запрещено осуществлять пожертвования либо не указавшим обязательные сведения в платежном документе</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превышающие предельные размеры пожертвований</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Израсходовано средств из избирательного фонда,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Финансовое обеспечение организационно-технических мер, направленных на предвыборную агитацию,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организации телерадиовещания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предвыборную агитацию через редакции периодических печатных изданий</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избирательного залога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за выполнение работ, оказание услуг, непосредственно связанных с проведением выборной кампании,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информационного и консультативного характера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и распространение агитационных материалов, всего</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агитационных материалов для избирателей с ограниченными возможностями здоровья по зрению (не менее 1%)</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помещений, оборудования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Покрытие транспортных и командировочных расходов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канцелярских товаров, оборудования</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4.3.7</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объявлений и выступлений кандидата в средствах массовой информации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предвыборных собраний, встреч с избирателями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4.3.9</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Оплата иных расходов, непосредственно связанных с проведением выборной кампании</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Налоговые отчисления и социальные обязательства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не запрещенные законодательством расходы</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отчетного периода</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настоящем финансовом отчете,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кандидата/ФИО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уполномоченного представителя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Сведения 1 к Форме № 7</w:t>
      </w:r>
    </w:p>
    <w:p>
      <w:pPr>
        <w:spacing w:after="400" w:before="400"/>
        <w:jc w:val="center"/>
      </w:pPr>
      <w:r>
        <w:rPr>
          <w:rFonts w:ascii="Arial" w:cs="Arial" w:eastAsia="Arial" w:hAnsi="Arial"/>
          <w:b/>
          <w:bCs/>
          <w:sz w:val="24"/>
          <w:szCs w:val="24"/>
        </w:rPr>
        <w:t xml:space="preserve">СВЕДЕНИЯ
 о пожертвованиях, поступивших в избирательный фонд кандидата/политической партии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
 (ФИО кандидата, наименование политической партии/регионального (территориального) отделения)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492"/>
        <w:gridCol w:w="2282"/>
        <w:gridCol w:w="2458"/>
        <w:gridCol w:w="2458"/>
      </w:tblGrid>
      <w:tr>
        <w:tc>
          <w:tcPr>
            <w:tcW w:type="dxa" w:w="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w:t>
            </w:r>
          </w:p>
        </w:tc>
        <w:tc>
          <w:tcPr>
            <w:tcW w:type="dxa" w:w="22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местонахождения</w:t>
            </w:r>
          </w:p>
        </w:tc>
        <w:tc>
          <w:tcPr>
            <w:tcW w:type="dxa" w:w="4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поступивших пожертвований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сом</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с нарушением пунктов 4, 5 статьи 15 Закона КР "О выборах депутатов местных кенешей",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61"/>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2419"/>
        <w:gridCol w:w="2256"/>
        <w:gridCol w:w="2508"/>
        <w:gridCol w:w="2508"/>
      </w:tblGrid>
      <w:tr>
        <w:tc>
          <w:tcPr>
            <w:tcW w:type="dxa" w:w="4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физического лица</w:t>
            </w:r>
          </w:p>
        </w:tc>
        <w:tc>
          <w:tcPr>
            <w:tcW w:type="dxa" w:w="22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местожительства</w:t>
            </w:r>
          </w:p>
        </w:tc>
        <w:tc>
          <w:tcPr>
            <w:tcW w:type="dxa" w:w="50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поступивших пожертвований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сом</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с нарушением пунктов 4, 5 статьи 15 Закона КР "О выборах депутатов местных кенешей",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62"/>
            <w:gridSpan w:val="3"/>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настоящих Сведениях о пожертвованиях, поступивших в избирательный фонд кандидата/политической партии подтверждаю, других денежных средств, минуя избирательный фонд, на организацию и проведение избирательной кампании не привлекалось.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Сведения 2 к Форме № 7</w:t>
      </w:r>
    </w:p>
    <w:p>
      <w:pPr>
        <w:spacing w:after="400" w:before="400"/>
        <w:jc w:val="center"/>
      </w:pPr>
      <w:r>
        <w:rPr>
          <w:rFonts w:ascii="Arial" w:cs="Arial" w:eastAsia="Arial" w:hAnsi="Arial"/>
          <w:b/>
          <w:bCs/>
          <w:sz w:val="24"/>
          <w:szCs w:val="24"/>
        </w:rPr>
        <w:t xml:space="preserve">СВЕДЕНИЯ
 о возврате пожертвований юридических и физических лиц,
 поступивших с нарушением статей Закона КР "О выборах депутатов местных кенешей"
 за период с "____" ___________ 20__ г. по "____" ___________ 20__ г.
 </w:t>
      </w:r>
      <w:r>
        <w:rPr>
          <w:rFonts w:ascii="Arial" w:cs="Arial" w:eastAsia="Arial" w:hAnsi="Arial"/>
          <w:sz w:val="24"/>
          <w:szCs w:val="24"/>
        </w:rPr>
        <w:t xml:space="preserve">______________________________________________________________________________________________
 (ФИО кандидата, наименование политической партии/регионального (территориального) отделения)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168"/>
        <w:gridCol w:w="1354"/>
        <w:gridCol w:w="1578"/>
        <w:gridCol w:w="1046"/>
        <w:gridCol w:w="1604"/>
        <w:gridCol w:w="1421"/>
        <w:gridCol w:w="1604"/>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денежных средств, иного имущества</w:t>
            </w:r>
          </w:p>
        </w:tc>
        <w:tc>
          <w:tcPr>
            <w:tcW w:type="dxa" w:w="13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лица/Фамилия, имя, отчество физического лица</w:t>
            </w:r>
          </w:p>
        </w:tc>
        <w:tc>
          <w:tcPr>
            <w:tcW w:type="dxa" w:w="15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ИНН/Адрес местонахождения юридического лица/Адрес местожительства физического лица</w:t>
            </w:r>
          </w:p>
        </w:tc>
        <w:tc>
          <w:tcPr>
            <w:tcW w:type="dxa" w:w="1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возврата(*)</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возврата (перечисления в доход республиканского бюджета)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пожертвований жертвователям, сом</w:t>
            </w:r>
          </w:p>
        </w:tc>
        <w:tc>
          <w:tcPr>
            <w:tcW w:type="dxa" w:w="1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в доход республиканского бюджета, сом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53"/>
            <w:gridSpan w:val="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Указываются соответствующие подпункт, пункт, статей Закона КР "О выборах депутатов местных кенешей", в соответствии с которыми осуществлен возврат пожертвования.</w:t>
      </w:r>
    </w:p>
    <w:p>
      <w:pPr>
        <w:spacing w:after="400" w:before="400"/>
        <w:jc w:val="center"/>
      </w:pPr>
      <w:r>
        <w:rPr>
          <w:rFonts w:ascii="Arial" w:cs="Arial" w:eastAsia="Arial" w:hAnsi="Arial"/>
          <w:b/>
          <w:bCs/>
          <w:sz w:val="32"/>
          <w:szCs w:val="32"/>
        </w:rPr>
        <w:t xml:space="preserve">РАСШИФРОВКА
 финансовых операций по расходованию средств избирательного фонда кандидата/политической партии юридическим и физическим лицам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7"/>
        <w:gridCol w:w="1663"/>
        <w:gridCol w:w="3019"/>
        <w:gridCol w:w="627"/>
        <w:gridCol w:w="1834"/>
        <w:gridCol w:w="1580"/>
        <w:gridCol w:w="967"/>
      </w:tblGrid>
      <w:tr>
        <w:tc>
          <w:tcPr>
            <w:tcW w:type="dxa" w:w="4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совершения операции</w:t>
            </w:r>
          </w:p>
        </w:tc>
        <w:tc>
          <w:tcPr>
            <w:tcW w:type="dxa" w:w="30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юридического лица/Фамилия, имя, отчество физического лица</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строки финансового отчета</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операции</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r>
      <w:tr>
        <w:tc>
          <w:tcPr>
            <w:tcW w:type="dxa" w:w="4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210"/>
            <w:gridSpan w:val="6"/>
            <w:tcBorders>
              <w:top w:val="none" w:color="auto" w:sz="0"/>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Итого</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b/>
          <w:bCs/>
          <w:sz w:val="24"/>
          <w:szCs w:val="24"/>
        </w:rPr>
        <w:t xml:space="preserve">Правильность сведений, указанных в настоящих Сведениях о возврате и расходах средств избирательных фондов кандидата/политической партии, подтверждаю.</w:t>
      </w:r>
    </w:p>
    <w:p>
      <w:pPr>
        <w:spacing w:after="60"/>
        <w:ind w:firstLine="567"/>
        <w:jc w:val="both"/>
      </w:pPr>
      <w:r>
        <w:rPr>
          <w:rFonts w:ascii="Arial" w:cs="Arial" w:eastAsia="Arial" w:hAnsi="Arial"/>
          <w:b/>
          <w:bCs/>
          <w:sz w:val="24"/>
          <w:szCs w:val="24"/>
        </w:rPr>
        <w:t xml:space="preserve">Других расходов, минуя избирательный фонд, на организацию и проведение избирательной кампании не производилось.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Форма № 8</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лицевая сторона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КАРТОЧКА
 с образцами подписей</w:t>
      </w:r>
    </w:p>
    <w:p>
      <w:pPr>
        <w:spacing w:after="120"/>
        <w:jc w:val="left"/>
      </w:pPr>
      <w:r>
        <w:rPr>
          <w:rFonts w:ascii="Arial" w:cs="Arial" w:eastAsia="Arial" w:hAnsi="Arial"/>
          <w:sz w:val="24"/>
          <w:szCs w:val="24"/>
        </w:rPr>
        <w:t xml:space="preserve">Владелец специального счета 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w:t>
      </w:r>
    </w:p>
    <w:p>
      <w:pPr>
        <w:spacing w:after="120"/>
        <w:jc w:val="left"/>
      </w:pPr>
      <w:r>
        <w:rPr>
          <w:rFonts w:ascii="Arial" w:cs="Arial" w:eastAsia="Arial" w:hAnsi="Arial"/>
          <w:sz w:val="24"/>
          <w:szCs w:val="24"/>
        </w:rPr>
        <w:t xml:space="preserve">________________________________________________________________________________
           </w:t>
      </w:r>
      <w:r>
        <w:rPr>
          <w:rFonts w:ascii="Arial" w:cs="Arial" w:eastAsia="Arial" w:hAnsi="Arial"/>
          <w:sz w:val="24"/>
          <w:szCs w:val="24"/>
        </w:rPr>
        <w:t xml:space="preserve">         (территориального) отделения, должность, ФИО руководителя)</w:t>
      </w:r>
    </w:p>
    <w:p>
      <w:pPr>
        <w:spacing w:after="120"/>
        <w:jc w:val="left"/>
      </w:pPr>
      <w:r>
        <w:rPr>
          <w:rFonts w:ascii="Arial" w:cs="Arial" w:eastAsia="Arial" w:hAnsi="Arial"/>
          <w:sz w:val="24"/>
          <w:szCs w:val="24"/>
        </w:rPr>
        <w:t xml:space="preserve">________________________________________________________________________________
                                               (местонахождение, контактные данные)</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Наименование банковского учреждения</w:t>
      </w:r>
    </w:p>
    <w:p>
      <w:pPr>
        <w:spacing w:after="120"/>
        <w:jc w:val="left"/>
      </w:pPr>
      <w:r>
        <w:rPr>
          <w:rFonts w:ascii="Arial" w:cs="Arial" w:eastAsia="Arial" w:hAnsi="Arial"/>
          <w:sz w:val="24"/>
          <w:szCs w:val="24"/>
        </w:rPr>
        <w:t xml:space="preserve">________________________________________________________________________________</w:t>
      </w:r>
      <w:r>
        <w:rPr>
          <w:rFonts w:ascii="Arial" w:cs="Arial" w:eastAsia="Arial" w:hAnsi="Arial"/>
          <w:sz w:val="24"/>
          <w:szCs w:val="24"/>
        </w:rPr>
        <w:t xml:space="preserve">Местонахождение банковского учреждения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на применение образцов подписей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 (или его заместитель)</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120"/>
        <w:jc w:val="center"/>
      </w:pPr>
      <w:r>
        <w:rPr>
          <w:rFonts w:ascii="Arial" w:cs="Arial" w:eastAsia="Arial" w:hAnsi="Arial"/>
          <w:sz w:val="24"/>
          <w:szCs w:val="24"/>
        </w:rPr>
        <w:t xml:space="preserve">"___" _________ 20__ г.</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Сообщаем образцы подписей, которые просим считать обязательными при совершении операции по счету.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Владелец специального счета ______________________________________________________</w:t>
      </w:r>
    </w:p>
    <w:p>
      <w:pPr>
        <w:spacing w:after="120"/>
        <w:jc w:val="left"/>
      </w:pPr>
      <w:r>
        <w:rPr>
          <w:rFonts w:ascii="Arial" w:cs="Arial" w:eastAsia="Arial" w:hAnsi="Arial"/>
          <w:sz w:val="24"/>
          <w:szCs w:val="24"/>
        </w:rPr>
        <w:t xml:space="preserve">________________________________________________________________________________
                       (ФИО кандидата, наименование политической партии/регионального
                                                          (территориального) отделения)</w:t>
      </w:r>
    </w:p>
    <w:p>
      <w:pPr>
        <w:spacing w:after="120"/>
        <w:jc w:val="left"/>
      </w:pPr>
      <w:r>
        <w:rPr>
          <w:rFonts w:ascii="Arial" w:cs="Arial" w:eastAsia="Arial" w:hAnsi="Arial"/>
          <w:sz w:val="24"/>
          <w:szCs w:val="24"/>
        </w:rPr>
        <w:t xml:space="preserve">Счет № _________________________________________________________________________
           </w:t>
      </w:r>
      <w:r>
        <w:rPr>
          <w:rFonts w:ascii="Arial" w:cs="Arial" w:eastAsia="Arial" w:hAnsi="Arial"/>
          <w:sz w:val="24"/>
          <w:szCs w:val="24"/>
        </w:rPr>
        <w:t xml:space="preserve">                                           (номер специального счета)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 уполномоченного представителя
                  кандидата/политической партии
                       по финансовым вопросам)</w:t>
      </w:r>
      <w:r>
        <w:rPr>
          <w:rFonts w:ascii="Arial" w:cs="Arial" w:eastAsia="Arial" w:hAnsi="Arial"/>
          <w:sz w:val="24"/>
          <w:szCs w:val="24"/>
        </w:rPr>
        <w:t xml:space="preserve">	</w:t>
      </w:r>
      <w:r>
        <w:rPr>
          <w:rFonts w:ascii="Arial" w:cs="Arial" w:eastAsia="Arial" w:hAnsi="Arial"/>
          <w:sz w:val="24"/>
          <w:szCs w:val="24"/>
        </w:rPr>
        <w:t xml:space="preserve">___________________
 (образец подписи)</w:t>
      </w:r>
    </w:p>
    <w:p>
      <w:pPr>
        <w:spacing w:after="120"/>
        <w:jc w:val="center"/>
      </w:pPr>
      <w:r>
        <w:rPr>
          <w:rFonts w:ascii="Arial" w:cs="Arial" w:eastAsia="Arial" w:hAnsi="Arial"/>
          <w:sz w:val="24"/>
          <w:szCs w:val="24"/>
        </w:rPr>
        <w:t xml:space="preserve">"___" _________ 20__ г.</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
              (ФИО кандидата/ФИО руководителя полит.
 партии/регионального (территориального) отделения)</w:t>
      </w:r>
      <w:r>
        <w:rPr>
          <w:rFonts w:ascii="Arial" w:cs="Arial" w:eastAsia="Arial" w:hAnsi="Arial"/>
          <w:sz w:val="24"/>
          <w:szCs w:val="24"/>
        </w:rPr>
        <w:t xml:space="preserve">	</w:t>
      </w:r>
      <w:r>
        <w:rPr>
          <w:rFonts w:ascii="Arial" w:cs="Arial" w:eastAsia="Arial" w:hAnsi="Arial"/>
          <w:sz w:val="24"/>
          <w:szCs w:val="24"/>
        </w:rPr>
        <w:t xml:space="preserve">___________________
 (подпись)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rpkjr_2szwi_b1rjtkc0">
      <w:r>
        <w:rPr>
          <w:rFonts w:ascii="Arial" w:cs="Arial" w:eastAsia="Arial" w:hAnsi="Arial"/>
          <w:color w:val="132D3F"/>
          <w:sz w:val="16"/>
          <w:szCs w:val="16"/>
          <w:u w:val="single"/>
        </w:rPr>
        <w:t xml:space="preserve">dalil.kg/document/30535</w:t>
      </w:r>
    </w:hyperlink>
  </w:p>
  <w:p>
    <w:pPr>
      <w:spacing w:after="0" w:before="40"/>
      <w:jc w:val="center"/>
    </w:pPr>
    <w:hyperlink w:history="1" r:id="rId0an7hk2rmofgaftlzcnu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uhcgqnbgdzyi3aaigyi" Type="http://schemas.openxmlformats.org/officeDocument/2006/relationships/hyperlink" Target="https://dalil.kg/document/30534" TargetMode="External"/><Relationship Id="rIdcauzi-_llznojvgh9zlig" Type="http://schemas.openxmlformats.org/officeDocument/2006/relationships/hyperlink" Target="https://dalil.kg/document/86193" TargetMode="External"/><Relationship Id="rIdynpe1tl0detydow8yvb2p" Type="http://schemas.openxmlformats.org/officeDocument/2006/relationships/hyperlink" Target="https://dalil.kg/document/86198" TargetMode="External"/><Relationship Id="rIdntxjlbjyzernuraornxmn" Type="http://schemas.openxmlformats.org/officeDocument/2006/relationships/hyperlink" Target="https://dalil.kg/document/86193" TargetMode="External"/><Relationship Id="rIdnkzq-9uhnz6if3jmg9oge" Type="http://schemas.openxmlformats.org/officeDocument/2006/relationships/hyperlink" Target="https://dalil.kg/document/86193" TargetMode="External"/><Relationship Id="rIdiqlyfyphv13egqqpzbz_a" Type="http://schemas.openxmlformats.org/officeDocument/2006/relationships/hyperlink" Target="https://dalil.kg/document/86193" TargetMode="External"/><Relationship Id="rIdmak68w0jotulo89etjs9e" Type="http://schemas.openxmlformats.org/officeDocument/2006/relationships/hyperlink" Target="https://dalil.kg/document/86193" TargetMode="External"/><Relationship Id="rIdadwrpsxbsgvuf1yzcxwyp" Type="http://schemas.openxmlformats.org/officeDocument/2006/relationships/hyperlink" Target="https://dalil.kg/document/86193" TargetMode="External"/><Relationship Id="rIdsijsw7lboituqdsjpveuu" Type="http://schemas.openxmlformats.org/officeDocument/2006/relationships/hyperlink" Target="https://dalil.kg/document/86193" TargetMode="External"/><Relationship Id="rIdhhqyc-kqrwkwciha3xmrg" Type="http://schemas.openxmlformats.org/officeDocument/2006/relationships/hyperlink" Target="https://dalil.kg/document/86193" TargetMode="External"/><Relationship Id="rIdzoehddxjwdl9zlhmu8n4d" Type="http://schemas.openxmlformats.org/officeDocument/2006/relationships/hyperlink" Target="https://dalil.kg/document/86193" TargetMode="External"/><Relationship Id="rId7upp6ph8f9p5ci3x9sfvt" Type="http://schemas.openxmlformats.org/officeDocument/2006/relationships/hyperlink" Target="https://dalil.kg/document/86193" TargetMode="External"/><Relationship Id="rIdmvbiquvvbjqy0feq94v1w" Type="http://schemas.openxmlformats.org/officeDocument/2006/relationships/hyperlink" Target="https://dalil.kg/document/86193" TargetMode="External"/><Relationship Id="rIdrqy9wjeddluxs_aj3km-o" Type="http://schemas.openxmlformats.org/officeDocument/2006/relationships/hyperlink" Target="https://dalil.kg/document/86193" TargetMode="External"/><Relationship Id="rIdnsgdl6n4opam0p-ofbz6q" Type="http://schemas.openxmlformats.org/officeDocument/2006/relationships/hyperlink" Target="https://dalil.kg/document/86193" TargetMode="External"/><Relationship Id="rIdwqwp-btmgfb26kc4-_gzp" Type="http://schemas.openxmlformats.org/officeDocument/2006/relationships/hyperlink" Target="https://dalil.kg/document/86193" TargetMode="External"/><Relationship Id="rId4jkqj4vipmc0rax-dtqfr" Type="http://schemas.openxmlformats.org/officeDocument/2006/relationships/hyperlink" Target="https://dalil.kg/document/86193" TargetMode="External"/><Relationship Id="rIdl4r3amr3nuemyo2pny0ib" Type="http://schemas.openxmlformats.org/officeDocument/2006/relationships/hyperlink" Target="https://dalil.kg/document/86193" TargetMode="External"/><Relationship Id="rId3hpvvw7mjv0mpknmyg8-9" Type="http://schemas.openxmlformats.org/officeDocument/2006/relationships/hyperlink" Target="https://dalil.kg/document/86193" TargetMode="External"/><Relationship Id="rIdfmeiwzsyazc1pmaqxz-w9" Type="http://schemas.openxmlformats.org/officeDocument/2006/relationships/hyperlink" Target="https://dalil.kg/document/86193" TargetMode="External"/><Relationship Id="rId3nck9bby3wue50oi8vo9k" Type="http://schemas.openxmlformats.org/officeDocument/2006/relationships/hyperlink" Target="https://dalil.kg/document/86193" TargetMode="External"/><Relationship Id="rIdvgqcove-judr2awiluqtm" Type="http://schemas.openxmlformats.org/officeDocument/2006/relationships/hyperlink" Target="https://dalil.kg/document/86193" TargetMode="External"/><Relationship Id="rIdz239hijbysknv8-zbiobq" Type="http://schemas.openxmlformats.org/officeDocument/2006/relationships/hyperlink" Target="https://dalil.kg/document/86193" TargetMode="External"/><Relationship Id="rIducypfvjknkkpes5zcobqd" Type="http://schemas.openxmlformats.org/officeDocument/2006/relationships/hyperlink" Target="https://dalil.kg/document/86193" TargetMode="External"/><Relationship Id="rId7zm2gtksfmg2h09gees0j" Type="http://schemas.openxmlformats.org/officeDocument/2006/relationships/hyperlink" Target="https://dalil.kg/document/86193" TargetMode="External"/><Relationship Id="rIdvkufhn_tyn6sgvgem9o_w" Type="http://schemas.openxmlformats.org/officeDocument/2006/relationships/hyperlink" Target="https://dalil.kg/document/86193" TargetMode="External"/><Relationship Id="rIdhlzd4nn2xj8ybg0ycf7gm" Type="http://schemas.openxmlformats.org/officeDocument/2006/relationships/hyperlink" Target="https://dalil.kg/document/86193" TargetMode="External"/><Relationship Id="rIdear5eteczqyhs9qpbnfof" Type="http://schemas.openxmlformats.org/officeDocument/2006/relationships/hyperlink" Target="https://dalil.kg/document/86193" TargetMode="External"/><Relationship Id="rIdzck0awg1bqu4tbsapiccv" Type="http://schemas.openxmlformats.org/officeDocument/2006/relationships/hyperlink" Target="https://dalil.kg/document/86193" TargetMode="External"/><Relationship Id="rIdqzlfe2jomm8wy2aupipsq" Type="http://schemas.openxmlformats.org/officeDocument/2006/relationships/hyperlink" Target="https://dalil.kg/document/86193" TargetMode="External"/><Relationship Id="rIdfsd7aa6ackyncumr__eal" Type="http://schemas.openxmlformats.org/officeDocument/2006/relationships/hyperlink" Target="https://dalil.kg/document/86193" TargetMode="External"/><Relationship Id="rId8nkizmxismdesgnl8vmus" Type="http://schemas.openxmlformats.org/officeDocument/2006/relationships/hyperlink" Target="https://dalil.kg/document/86193" TargetMode="External"/><Relationship Id="rIdocmwjmxtwg6xospwpgi3u" Type="http://schemas.openxmlformats.org/officeDocument/2006/relationships/hyperlink" Target="https://dalil.kg/document/86193" TargetMode="External"/><Relationship Id="rIditwl5l_6ng-r8gms2_3st" Type="http://schemas.openxmlformats.org/officeDocument/2006/relationships/hyperlink" Target="https://dalil.kg/document/86193" TargetMode="External"/><Relationship Id="rIdec3ccqogiq0lozsxqi1ik" Type="http://schemas.openxmlformats.org/officeDocument/2006/relationships/hyperlink" Target="https://dalil.kg/document/86193" TargetMode="External"/><Relationship Id="rIdgxsz0bpf4ormymnfesx0k" Type="http://schemas.openxmlformats.org/officeDocument/2006/relationships/hyperlink" Target="https://dalil.kg/document/86193" TargetMode="External"/><Relationship Id="rIdunqxud9fevvw-5p8dur5n" Type="http://schemas.openxmlformats.org/officeDocument/2006/relationships/hyperlink" Target="https://dalil.kg/document/86193" TargetMode="External"/><Relationship Id="rIdw5wypgvsidlwx9nhlqpc_" Type="http://schemas.openxmlformats.org/officeDocument/2006/relationships/hyperlink" Target="https://dalil.kg/document/86193" TargetMode="External"/><Relationship Id="rIdicepudqs6igwz5u_npafo" Type="http://schemas.openxmlformats.org/officeDocument/2006/relationships/hyperlink" Target="https://dalil.kg/document/86193" TargetMode="External"/><Relationship Id="rIdzphfprdkftim3rfp5e9ds" Type="http://schemas.openxmlformats.org/officeDocument/2006/relationships/hyperlink" Target="https://dalil.kg/document/86198" TargetMode="External"/><Relationship Id="rIdic3qnxgdvpalvjv460hxx" Type="http://schemas.openxmlformats.org/officeDocument/2006/relationships/hyperlink" Target="https://dalil.kg/document/86198"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pkjr_2szwi_b1rjtkc0" Type="http://schemas.openxmlformats.org/officeDocument/2006/relationships/hyperlink" Target="https://dalil.kg/document/30535" TargetMode="External"/><Relationship Id="rId0an7hk2rmofgaftlzcnu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2026-09-29T14:16:07.645Z</dcterms:created>
  <dcterms:modified xsi:type="dcterms:W3CDTF">2026-09-29T14:16:07.645Z</dcterms:modified>
</cp:coreProperties>
</file>

<file path=docProps/custom.xml><?xml version="1.0" encoding="utf-8"?>
<Properties xmlns="http://schemas.openxmlformats.org/officeDocument/2006/custom-properties" xmlns:vt="http://schemas.openxmlformats.org/officeDocument/2006/docPropsVTypes"/>
</file>