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qcxhgyz-fk-h4jw-um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 апреля 2003 года. Регистрационный номер 38-03                                Утверждена                        </w:t>
      </w:r>
      <w:hyperlink w:history="1" r:id="rId2e4w5hird5kf0cxxyni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комитета                         Кыргызской Республики                     по управлению государственным                       имуществом и привлечению                           прямых инвестиций                     от 28 марта 2003 года N 8-пк                                ИНСТРУКЦИЯ                о порядке начисления арендной платы за         пользование государственными зданиями (помещениями),                       в т.ч. административными    Настоящая   инструкция  разработана  в  соответствии  с  Гражданскимкодексом   Кыргызской   Республики  и  другими  нормативными   актами,регулирующими   арендные  отношения,  определяет  порядок   начисленияарендной  платы  и  подтверждения  договоров  аренды  государственногоимущества.  Величина  годовой  арендной платы за использование  государственнымизданиями (помещениями) рассчитывается по формуле:    Аг.пл.= Тб х (1 + К1 + К2 + КЗ) х К4 х S + Аз, (1)    или Аг.пл.= Тпл х S + Аз, где:  Аг.пл - размер годовой арендной платы за помещения:  Тпл - стоимость арендной платы 1 кв.м. площади;  Тб - базовый тариф годовой арендной платы за 1 кв.м. площади;  К1 - коэффициент размещения помещения;  К2 - коэффициент технического обустройства;  КЗ - отраслевой коэффициент использования помещения;  К4 - коэффициент месторасположения здания;  S - площадь помещения;  Аз - плата за пользование земельным участком.  Величина  коэффициентов, использованных в расчетах, определяется  последующим критериям:  a) Тб - базовый тариф годовой арендной платы за 1 кв.м. площади:  (Справочно:  - для г.Бишкек - 120 сомов, для г.Оша - 85  сомов,  дляостальных  городов  -  60  сомов,  для  поселков  городского  типа   ипригородных  населенных  пунктов - 45 сомов,  для  остальных  сельскихнаселенных пунктов республики - 30 сомов.)  b) K1 - коэффициент размещения помещения:  отдельно стоящее здание - 0,5  помещения внутри здания - 0,4  встроенное или пристроенное помещение - 0,3  полуподвальное (цокольное) помещение - 0,2  подвальное помещение - 0,1  с) К2- коэффициент технического обустройства:  водопровод, канализация, горячая вода, центральное отопление - 0,5  водопровод, канализация, центральное отопление - 0,4  водопровод, канализация, горячая вода - 0,3  центральное отопление - 0,2  водопровод, канализация - 0,2  техническое обустройство отсутствует - 0.  d) КЗ - отраслевой коэффициент использования помещения:  1)  творческие  мастерские  художников,  скульпторов,  архитекторов,народных мастеров - 0,05  2) гаражи, склады и другие вспомогательные помещения - 0,3  3)  площади  для  оказания  бытовых услуг (ремонт  обуви,  одежды  ипредметов   домашнего   обихода,  химчистки,  парикмахерские,   салоныкрасоты, косметические салоны, пункты проката, бани) - 0,4  4)  площади,  используемые  для  реализации  хлебобулочных  изделий,молочных  продуктов, продовольственных товаров, кондитерских  изделий,безалкогольных    напитков,   лекарственных    средств,    предприятияобщественного   питания  с  приготовлением  пищи  и  ее   реализацией,помещения    лабораторий,   аудиторий,   для   проведения    проектно-исследовательских  работ, оказания почтовых,  медицинских,  спортивно-оздоровительных  услуг,  помещения,  используемые  в  производственныхцелях - 0,5  5)  помещения  для ремонта и технического обслуживания  автомобилей,вычислительной  техники  и  другого  оборудования,  ксерокопировальнаяобработка материалов - 0,7  6) другие предприятия торговли - 0,8  7) залы электронных, компьютерных и других развлекательных игр 1,2  8) помещения, используемые под офисы - 1,5  9)  финансовые  учреждения,  трастовые компании,  биржи,  учреждениястрахования - 2,0  10) рестораны, бары, кафе, дискотеки, сауны - 2,5  11)  обменно-валютные кассы, пункты записи и проката видео продукции- 3,0  12) казино, бильярд, салоны азартных игр - 4,0  13) другие помещений, кроме перечисленных в позициях 1)-12) - 1,0  e)  К4  - коэффициент месторасположения здания /1-2/ устанавливаетсяГоскомимуществом  (Арендодателем)  в  зависимости  от  местонахожденияарендуемых государственных зданий.  При  установлении  данного коэффициента должны учитываться  спрос  ипредложение  на  подлежащие передаче в аренду  помещения,  возможностьиспользования  прилегающей территории, характеристика  территориально-экономической  зоны  и  другие  качественные  критерии  помещений,  неучтенные используемыми коэффициентами.  С   учетом   местонахождения  государственных   зданий   применяютсяследующие коэффициенты (по г.Бишкек):  -  1  зона  - границы улиц Боконбаева, Суюмбаева, Фрунзе, пр.Манаса,Боконбаева - 2;  -  2  зона - пр.Мира, ул.Ахунбаева, Шабдан баатыра, Курманжан Датка,Жибек-Жолу, Фучика, Московская, Некрасова, Л.Толстого, пр.Мир а- 1,5;  - 3 зона - остальные - 1.  В остальных регионах республики коэффициент месторасположения зданий- 1.  В  случае,  если  затраты балансодержателя  на  содержание  1  кв.м.сдаваемой  в  аренду площади больше рассчитанной величины  Тпл,  то  вкачестве  размера  годовой арендной платы 1 кв.м. принимаются  затратыбалансодержателя.  Плата  за  пользование  земельным участком  (Аз)  рассчитывается  поформуле:    Аз = С х S x Ki ..x Kn, где: (2)    С  -  базовая  ставка  земельного  налога  за  использование  земельнесельскохозяйственного назначения;  S  -  площадь  земельного участка. Рассчитывается по удельному  весуарендуемого помещения к общей площади здания;  Ki  ... Kn - коэффициенты для дифференцирования земельного налога заиспользование  земель несельскохозяйственного назначения,  на  которыхрасположено арендуемое государственное здание (помещение);  Базовая   ставка   земельного  налога   за   использование   земляминесельскохозяйственного     назначения     и     коэффициенты      длядифференцирования  земельного  налога  принимаются  в  соответствии  сустановленным законодательством по типу арендуемого здания.  Арендная    плата   за   использование   государственными   зданиями(помещениями) не может быть ниже величины арендной платы, рассчитаннойпо настоящей Инструкции.  Величина  арендной  платы  не  включает соответствующие  расходы  поэксплуатации  и  текущему  ремонту  зданий  и  помещений,  затраты  наотопление и коммунальные услуги.  Ежеквартально   арендная   плата   вносится   Арендатором   в   видеустановленных в твердой сумме платежей, уплачиваемых в соответствии  сдоговором,  на  расчетный  счет  Балансодержателя,  который  полностьюперечисляет  их  на  расчетный  счет Госкомимуществ  в  течении  10-тибанковских  дней,  который в свою очередь полностью перечисляет  их  вгосударственный бюджет.  Размер  арендной  платы  может изменяться в  сроки,  предусмотренныедоговором, но не чаще одного раза в год.  При отсутствии согласованного сторонами в письменной форме условия оразмере арендной платы договор аренды считается незаключенным.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xxv-pea8tflv8r-h_ye">
      <w:r>
        <w:rPr>
          <w:rFonts w:ascii="Arial" w:cs="Arial" w:eastAsia="Arial" w:hAnsi="Arial"/>
          <w:color w:val="132D3F"/>
          <w:sz w:val="16"/>
          <w:szCs w:val="16"/>
          <w:u w:val="single"/>
        </w:rPr>
        <w:t xml:space="preserve">dalil.kg/document/30785</w:t>
      </w:r>
    </w:hyperlink>
  </w:p>
  <w:p>
    <w:pPr>
      <w:spacing w:after="0" w:before="40"/>
      <w:jc w:val="center"/>
    </w:pPr>
    <w:hyperlink w:history="1" r:id="rIdrvxps7gsxjptn8nzkw1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qcxhgyz-fk-h4jw-umhe" Type="http://schemas.openxmlformats.org/officeDocument/2006/relationships/hyperlink" Target="https://dalil.kg/document/202591" TargetMode="External"/><Relationship Id="rId2e4w5hird5kf0cxxyniyu" Type="http://schemas.openxmlformats.org/officeDocument/2006/relationships/hyperlink" Target="https://dalil.kg/document/307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xxv-pea8tflv8r-h_ye" Type="http://schemas.openxmlformats.org/officeDocument/2006/relationships/hyperlink" Target="https://dalil.kg/document/30785" TargetMode="External"/><Relationship Id="rIdrvxps7gsxjptn8nzkw1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2026-10-01T02:02:50.127Z</dcterms:created>
  <dcterms:modified xsi:type="dcterms:W3CDTF">2026-10-01T02:02:50.127Z</dcterms:modified>
</cp:coreProperties>
</file>

<file path=docProps/custom.xml><?xml version="1.0" encoding="utf-8"?>
<Properties xmlns="http://schemas.openxmlformats.org/officeDocument/2006/custom-properties" xmlns:vt="http://schemas.openxmlformats.org/officeDocument/2006/docPropsVTypes"/>
</file>