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1 февраля 2005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16-05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sq6d_-kvfh2apuckry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
 Кыргызской Республики 
 от 29 декабря 2004 года N 36/13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mziwfcuuzfew5rwqrak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2005 года N 26/5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5j-nrkifju1ab1ixd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2009 года N 38/5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7ttdzpfex2xkrkpsw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2010 года N 91/7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lnow4qyw5-d5kvbkn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v98wniw8hbsa7ui7i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58/14,</w:t>
        </w:r>
      </w:hyperlink>
      <w:hyperlink w:history="1" r:id="rIdzvhoby3spz0rxx-dls8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35/7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декабря 2016 года № 48/11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82kxegevsctobzsda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2018 года № 2018-П-12/43-2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устанавливает порядок расчета открытой позиции и контроля за соблюдением лимитов открытой позиции валютной позиции и открытой позиции в драгоценных металлах (далее - открытая позиция) коммерческими банками, действующими на территории Кыргызской Республики. Для достижения цели и выполнения задач Национального банка Кыргызской Республики (далее - Национальный банк) Правление Национального банка отдельным постановлением может изменять значения установленных в настоящей Инструкции лимитов открытой позиции на ограниченный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соблюдения лимитов открытой позиции распространяется на все коммерческие банки и на Государственный банк развития Кыргызской Республики (далее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внутренней политики и процедур контроля рисков банк должен руководствоваться требованиями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настоящей Инструкции применяются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Валютный риск</w:t>
      </w:r>
      <w:r>
        <w:rPr>
          <w:rFonts w:ascii="Arial" w:cs="Arial" w:eastAsia="Arial" w:hAnsi="Arial"/>
          <w:sz w:val="24"/>
          <w:szCs w:val="24"/>
        </w:rPr>
        <w:t xml:space="preserve"> - это риск получения банком убытков вследствие изменения стоимости требований (активов)/обязательств банка, выраженных в иностранной валюте, при неблагоприятном изменении валютного курса, в тот момент, когда банк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банка валютному риску.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Валютные операции</w:t>
      </w:r>
      <w:r>
        <w:rPr>
          <w:rFonts w:ascii="Arial" w:cs="Arial" w:eastAsia="Arial" w:hAnsi="Arial"/>
          <w:sz w:val="24"/>
          <w:szCs w:val="24"/>
        </w:rPr>
        <w:t xml:space="preserve"> - это сделки, связанные с обменом, покупкой/продажей (конвертацией) иностранной валюты, а также иные операции, в результате которых изменяются требования (активы) либо обязательства, выраженные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Чистая позиция</w:t>
      </w:r>
      <w:r>
        <w:rPr>
          <w:rFonts w:ascii="Arial" w:cs="Arial" w:eastAsia="Arial" w:hAnsi="Arial"/>
          <w:sz w:val="24"/>
          <w:szCs w:val="24"/>
        </w:rPr>
        <w:t xml:space="preserve"> - это разница между требованиями (активами) и обязательствами банка, как балансовыми, так и забалансовыми, по каждой иностранной валюте в отдельности и по каждому виду драгоценного металла в отдельности (золоте, серебре, платине), за исключением нумизматических (коллекционных) монет.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Открытая позиция</w:t>
      </w:r>
      <w:r>
        <w:rPr>
          <w:rFonts w:ascii="Arial" w:cs="Arial" w:eastAsia="Arial" w:hAnsi="Arial"/>
          <w:sz w:val="24"/>
          <w:szCs w:val="24"/>
        </w:rPr>
        <w:t xml:space="preserve"> - это несовпадение требований (активов) банка в иностранной валюте/виде драгоценного металла и обязательств банка в той же иностранной валюте/в том же виде драгоценного металла, а в случае равенства - позиция считается закрытой.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иностранной валюте и по каждому виду драгоценного металла открытая позиция рассчитывается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</w:t>
      </w:r>
      <w:r>
        <w:rPr>
          <w:rFonts w:ascii="Arial" w:cs="Arial" w:eastAsia="Arial" w:hAnsi="Arial"/>
          <w:sz w:val="24"/>
          <w:szCs w:val="24"/>
        </w:rPr>
        <w:t xml:space="preserve">Открытая позиция банка может быть длинной (в случае превышения требований (активов) банка в соответствующей валюте/соответствующем виде драгоценного металла над его обязательствами в той же валюте/том же виде драгоценного металла),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Суммарная позиция</w:t>
      </w:r>
      <w:r>
        <w:rPr>
          <w:rFonts w:ascii="Arial" w:cs="Arial" w:eastAsia="Arial" w:hAnsi="Arial"/>
          <w:sz w:val="24"/>
          <w:szCs w:val="24"/>
        </w:rPr>
        <w:t xml:space="preserve"> - это сумма всех чистых позиций банка по всем иностранным валютам или по всем видам драгоценных металлов, рассчитанная с использованием метода "short hand', определенном в п.2.5 настоящей Инструкци.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Лимиты открытых позиций</w:t>
      </w:r>
      <w:r>
        <w:rPr>
          <w:rFonts w:ascii="Arial" w:cs="Arial" w:eastAsia="Arial" w:hAnsi="Arial"/>
          <w:sz w:val="24"/>
          <w:szCs w:val="24"/>
        </w:rPr>
        <w:t xml:space="preserve"> - это устанавливаемые Национальным банком ограничения, выраженные в процентном отношении открытых валютных позиций (по каждой иностранной валюте/по каждому виду драгоценного металла и суммарной) к чистому суммарному капиталу банка. Лимиты открытых валютных позиций рассчитываются в процентах с округлением до двух десятичных знаков после запятой.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Чистый суммарный капитал банка</w:t>
      </w:r>
      <w:r>
        <w:rPr>
          <w:rFonts w:ascii="Arial" w:cs="Arial" w:eastAsia="Arial" w:hAnsi="Arial"/>
          <w:sz w:val="24"/>
          <w:szCs w:val="24"/>
        </w:rPr>
        <w:t xml:space="preserve"> - данная величина, рассчитывается в соответствии с требованиями Инструкции по определению стандартов достаточности (адекватности) капитала коммерческих банков Кыргызской Республики. В целях настоящей Инструкции при расчете лимитов открытых позиций используется значение чистого суммарного капитала банка по состоянию на 1-е число каждого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заключения сделки</w:t>
      </w:r>
      <w:r>
        <w:rPr>
          <w:rFonts w:ascii="Arial" w:cs="Arial" w:eastAsia="Arial" w:hAnsi="Arial"/>
          <w:sz w:val="24"/>
          <w:szCs w:val="24"/>
        </w:rPr>
        <w:t xml:space="preserve"> - это дата достижения сторонами соглашения по основным условиям сделки (виды валют, обменный курс, суммы средств, дата валютирования, вид, масса драгоценного металла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валютирования</w:t>
      </w:r>
      <w:r>
        <w:rPr>
          <w:rFonts w:ascii="Arial" w:cs="Arial" w:eastAsia="Arial" w:hAnsi="Arial"/>
          <w:sz w:val="24"/>
          <w:szCs w:val="24"/>
        </w:rPr>
        <w:t xml:space="preserve"> - это дата, в которую происходит зачисление средств на счета участников сделки.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расчета открытых позиций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 состоянию на конец каждого рабочего дня банк должен рассчитывать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валютные позиции по каждой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валютную позицию;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позиции по каждому виду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позицию в драгоценных металлах.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Чистые позиции рассчитываются отдельно по каждой иностранной валюте и виду драгоценного металла как сумма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спот-позиция в иностранной валюте/виде драгоценного металла. Данная величина рассчитывается как разница между балансовыми активами и балансовыми обязательствами (в том числе незавершенные "спот" контракты с датой валютирования до 2-х дней и "спот" контракты, являющиеся частью "СВОП" контрактов). При этом активы и обязательства включаются в расчет по чистой балансовой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целей настоящей Инструкции под контрактом "СВОП" понимается операция, представляющая собой комбинацию двух сделок: "спот" и "форвард" контрактов на одну и ту же сумму/массу драгоценного металла (основная сумма "СВОП" контракта), с одним и тем же контр-агентом, на определенный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форвард-позиция в иностранной валюте/виде драгоценного металла. Данная величина рассчитывается как разница между требованиями и обязательствами по контрактам "форвард" (включая фьючерсы), а также "форвард" контракты, являющиеся частью "СВОП" контрактов (основная сумма "СВОП" 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Выпущенные или подтвержденные банком безотзывные гарантии, аккредитивы и подобные им финансовые инструменты, номинированные в иностранной валюте/виде драгоценного металла, за исключением гарантий, аккредитивов и подобных им финансовых инструментов, обеспеченных в той же валюте/том же виде драгоценного металла. В целях настоящей Инструкции, под финансовыми инструментами подразумеваются вексельные поручительства (аваль), дорожные чеки и другие, принятые в международной практике условные обязательства банка. К финансовым инструментам не относятся кредитные линии.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указанные гарантии, аккредитивы и подобные им финансовые инструменты включаются в расчет чистой позиции с момента представления бенефициаром (выгодоприобретателем) требования об оплате денежной суммы по обязательству или получения банком документально подтвержденной информации, свидетельствующей о высокой вероятности предъявления требования об оплате по указанным обязательствам. Например, письмо бенефициара о неисполнении (задержке исполнения) принципалом своих обязательств является основанием для включения гарантии в расчет чистой позиции.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Валютные операции и операции с драгоценными металлами включаются в расчет чистой позиции с даты заключения сделки, в том числе операции, содержащие будущую дату валютирования, не являющуюся датой заключения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учетному курсу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чистых позиций в драгоценных металлах: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 в безналичной форме в количественном выражении рассчитываются по вечернему фиксингу, установленному Лондонской ассоциацией рынка драгоценных металлов в день, предшествующий дню проведения учета, рассчитанный через кросс-курс официального курса доллара США к сому, установленному Национальным банком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 в физической форме в количественном выражении рассчитываются по учетному курсу, установленному в учетной политике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Суммарная позиция рассчитывается с использованием метода "short hand". А именно, расчет осуществляется путем суммирования отдельно всех длинных чистых позиций и отдельно всех коротких чистых позиций по каждой валюте/каждому виду драгоценного металла. Затем полученные величины сравниваются друг с другом (в абсолютной величине), и наибольшая из двух величин используется при расчете лимита суммарной позиции.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Лимиты открытой позиции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снижения валютного риска банков Национальный банк Кыргызской Республики устанавливает следующие лимиты открытой валютной позиции: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По состоянию на конец операционного дня размер открытой длинной/короткой валютной позиции по каждой иностранной валюте не должен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валют стран, являющихся членами Организации экономического сотрудничества и развития (далее - ОЭСР) и/или для валют стран, подписавших 8 статью "Статей соглашения" с МВФ - 15% от чистого суммарного капитала банка. Перечень государств-членов ОЭСР размещен на официальном сайте www.oecd.org. Перечень стран, подписавших 8 статью "Статей соглашения" с МВФ размещен на официальном сайте www.imf.org;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валют стран, не подписавших 8 статью "Статей соглашения" с МВФ - 0% от чистого суммарного капитала банка (закрытая позиция).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По состоянию на конец операционного дня размер суммарной валютной позиции по всем иностранным валютам стран, указанных в подпункте а) </w:t>
      </w:r>
      <w:r>
        <w:rPr>
          <w:rFonts w:ascii="Arial" w:cs="Arial" w:eastAsia="Arial" w:hAnsi="Arial"/>
          <w:sz w:val="24"/>
          <w:szCs w:val="24"/>
        </w:rPr>
        <w:t xml:space="preserve">пункта 3.1.1</w:t>
      </w:r>
      <w:r>
        <w:rPr>
          <w:rFonts w:ascii="Arial" w:cs="Arial" w:eastAsia="Arial" w:hAnsi="Arial"/>
          <w:sz w:val="24"/>
          <w:szCs w:val="24"/>
        </w:rPr>
        <w:t xml:space="preserve"> настоящей </w:t>
      </w:r>
      <w:hyperlink w:history="1" r:id="rIdjfvt1pqn4bsmjpdjk5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 не должен превышать 20% от чистого суммарного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В целях регулирования операций купли-продажи с драгоценными металлами Национальный банк устанавливает для коммерческих банков лимит суммарной открытой позиции в драгоценных металлах: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состоянию на конец операционного дня размер открытой длинной/короткой позиции по каждому виду драгоценного металла не должен превышать 15% от чистого суммарного капитала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состоянию на конец операционного дня размер суммарной позиции в драгоценных металлах в совокупности не должен превышать 20% от чистого суммарного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Банки обязаны соблюдать установленные лимиты открытых позиций на конец каждого операционного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Превышения установленных лимитов открытых позиций не могут переноситься банком на следующий операционный день. До конца текущего операционного дня лимиты должны быть приведены в соответствие с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Величина открытых позиций в течение операционного дня контролируется банками самостоятельно, исходя из собственной оценки допустимого уровня валютного риска и рисков по операциям с драгоценными металлами. При этом каждый банк должен удерживать размеры рисков в течение дня в соответствии с внутренней политикой управления рисками, утвержденной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Предельное значение лимитов открытых позиций может быть снижено решением Комитета по надзору для отдельных банков при осуществлении ими ненадежной и нездоровой практики ведения операций или при угрозе нарушения банковского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случае, если величина чистого суммарного капитала банка является отрицательной или равна нулю, банк должен привести чистые позиции по каждой валюте/каждому виду драгоценного металла к нулевому значению (закрытая позиция) в сроки, установленные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Драгоценные металлы, находящиеся у банка на ответственном хранении и в качестве заклада, не являются обязательствами банка, и в расчет открытой позиции в драгоценных металлах не включаются.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Отчетность банков и порядок ее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Ежедневно до 9.00 ч. банки должны представлять в Национальный банк отчет об открытых позициях по состоянию на конец последнего операционного дня согласно Приложению </w:t>
      </w:r>
      <w:hyperlink w:history="1" r:id="rId4w3hld0qys1r0tqvudd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и </w:t>
      </w:r>
      <w:hyperlink w:history="1" r:id="rId-zhztfia_ddfs6qqtty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5h3u-kcfrftkoyuxzst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2009 года N 38/5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Банки, имеющие филиалы и дочерние банки, проводящие операции в иностранной валюте и операции с драгоценными металлами, а также имеющие обменные пункты, должны представлять в отчете сводные данные по открытым позициям с учетом данных всех филиалов, дочерних банков и обменных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Меры воздействия за нарушение банками установленных лимитов открытой позиции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раздела 
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нарушения банком по состоянию на конец каждого операционного дня установленных лимитов открытой позиции, Национальный банк применяет меры воздействия в виде взыскания штрафа в размере 5% от суммы нарушения, но не более 10% от норматива минимального размера уставного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2018 года № 2018-П-12/43-2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систематическом (более 2-х раз за последовательные 30 календарных дней) нарушении банком установленных лимитов, Национальный банк может применить иные меры воздействия, предусмотренные банковским законодательством и нормативными правовыми актами Национального банка, вплоть до отзыва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Превышение установленных лимитов в пределах 0-0,05% не влечет за собой применение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Любые попытки банка каким-либо образом избежать отражения в отчетности реальной чистой позиции будут рассматриваться Национальным банком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ввести Национальный банк в заблуждение;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нездоровая и небезопасная банковская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манипуляция чистой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 если эти операции влияют на финансовую отчетность банка и его экономические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банком недостоверной финансовой и регулятивной отчетности. Подобные операции не принимаются во внимание при расчете лимитов открытых позиций.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нарушения любого из требований настоящей Инструкции руководство банка обязано незамедлительно информировать Национальный банк о допущенных нарушениях и представить в двухдневный срок письменные объяснения о причинах допущенного нарушения с перечнем мер, принятых банком с целью его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Меры воздействия в виде взыскания штрафа, как правило, не применяются к банку, если лимит открытой позиции был нарушен в условиях возникших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qnd1_wwzlstfl8pvxob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2010 года N 91/7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временной администрации Комитет по надзору вправе рассмотреть целесообразность взыскания штрафа с банка за несоблюдение установленных лимитов открытой позиции с учетом всех обстоятельств, которые привели к нарушению данного экономического норматива.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позиции в период действия в банке временной администрации явилось результатом деятельности банка до введения временной администрации, Комитет по надзору вправе рассмотреть вопрос о взыскании штрафа с банка с отсрочкой его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Организация внутреннего контроля по операциям с иностранной валютой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осуществления операций с иностранной валютой банки должны разработать внутреннюю политику управления валютными рисками и организовать адекватный внутренний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 каждой из проводимых операций с иностранной валютой должны быть разработаны соответствующие процедуры, в которых должны быть отражены, по меньшей мере,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функций back и front офисов;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функциональных обязанностей сотрудников банка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четкой системы санкционирования объема проводимых банком операций соответствующими уполномоченными сотрудниками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банком внутренних лимитов открытой валютной позиции по каждой иностранной валюте и в целом по всем валютам;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уровня достаточности информации о надежности контр-агентов, в зависимости от характера и степени риска совершаемых операций и категории контр-агента;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по учету и отчетности по валютным операциям для банка и его филиалов (форма, частота представления, ответственность).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Организация внутреннего контроля по операциям с драгоценными металлами осуществляется согласно нормам, установленным в Положении об операциях коммерческих банков с драгоценными металлами.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об открытых валютных позициях (ОВП)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ebilq9zzm2nof1zq9bz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25 августа 2005 года N 26/5)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ЧСК: ________________ тыс.сом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1087"/>
        <w:gridCol w:w="1254"/>
        <w:gridCol w:w="866"/>
        <w:gridCol w:w="866"/>
        <w:gridCol w:w="1256"/>
        <w:gridCol w:w="1531"/>
        <w:gridCol w:w="1043"/>
        <w:gridCol w:w="1043"/>
      </w:tblGrid>
      <w:tr>
        <w:tc>
          <w:tcPr>
            <w:tcW w:type="dxa" w:w="1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Учетный курс Национального банка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 (тыс.сом)</w:t>
            </w:r>
          </w:p>
        </w:tc>
        <w:tc>
          <w:tcPr>
            <w:tcW w:type="dxa" w:w="17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 (% к ЧСК)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 (%)</w:t>
            </w:r>
          </w:p>
        </w:tc>
        <w:tc>
          <w:tcPr>
            <w:tcW w:type="dxa" w:w="20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открытых позициях в драгоценных металлах (ОПДМ)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ЧСК: _____________________ 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9"/>
        <w:gridCol w:w="975"/>
        <w:gridCol w:w="1236"/>
        <w:gridCol w:w="843"/>
        <w:gridCol w:w="843"/>
        <w:gridCol w:w="1226"/>
        <w:gridCol w:w="1490"/>
        <w:gridCol w:w="1033"/>
        <w:gridCol w:w="1033"/>
      </w:tblGrid>
      <w:tr>
        <w:tc>
          <w:tcPr>
            <w:tcW w:type="dxa" w:w="14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Учетный курс</w:t>
            </w:r>
          </w:p>
        </w:tc>
        <w:tc>
          <w:tcPr>
            <w:tcW w:type="dxa" w:w="12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 (тыс.сом)</w:t>
            </w:r>
          </w:p>
        </w:tc>
        <w:tc>
          <w:tcPr>
            <w:tcW w:type="dxa" w:w="1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 (% к ЧСК)</w:t>
            </w:r>
          </w:p>
        </w:tc>
        <w:tc>
          <w:tcPr>
            <w:tcW w:type="dxa" w:w="1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 (%)</w:t>
            </w:r>
          </w:p>
        </w:tc>
        <w:tc>
          <w:tcPr>
            <w:tcW w:type="dxa" w:w="20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платина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ОПДМ: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gtlyqi2upygomksir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dalil.kg/document/31124</w:t>
      </w:r>
    </w:hyperlink>
  </w:p>
  <w:p>
    <w:pPr>
      <w:spacing w:after="0" w:before="40"/>
      <w:jc w:val="center"/>
    </w:pPr>
    <w:hyperlink w:history="1" r:id="rIdnxvpxsunfmmkffgxsyv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6d_-kvfh2apuckryivt" Type="http://schemas.openxmlformats.org/officeDocument/2006/relationships/hyperlink" Target="https://dalil.kg/document/31095" TargetMode="External"/><Relationship Id="rIdmziwfcuuzfew5rwqrakup" Type="http://schemas.openxmlformats.org/officeDocument/2006/relationships/hyperlink" Target="https://dalil.kg/document/300273" TargetMode="External"/><Relationship Id="rIdox5j-nrkifju1ab1ixdvv" Type="http://schemas.openxmlformats.org/officeDocument/2006/relationships/hyperlink" Target="https://dalil.kg/document/301244" TargetMode="External"/><Relationship Id="rIdo87ttdzpfex2xkrkpswtj" Type="http://schemas.openxmlformats.org/officeDocument/2006/relationships/hyperlink" Target="https://dalil.kg/document/302367" TargetMode="External"/><Relationship Id="rIdbjlnow4qyw5-d5kvbknnk" Type="http://schemas.openxmlformats.org/officeDocument/2006/relationships/hyperlink" Target="https://dalil.kg/document/302553" TargetMode="External"/><Relationship Id="rId-uv98wniw8hbsa7ui7i_q" Type="http://schemas.openxmlformats.org/officeDocument/2006/relationships/hyperlink" Target="https://dalil.kg/document/302977" TargetMode="External"/><Relationship Id="rIdzvhoby3spz0rxx-dls8xy" Type="http://schemas.openxmlformats.org/officeDocument/2006/relationships/hyperlink" Target="https://dalil.kg/document/303012" TargetMode="External"/><Relationship Id="rIdok82kxegevsctobzsdax9" Type="http://schemas.openxmlformats.org/officeDocument/2006/relationships/hyperlink" Target="https://dalil.kg/document/800223" TargetMode="External"/><Relationship Id="rIdjfvt1pqn4bsmjpdjk5gei" Type="http://schemas.openxmlformats.org/officeDocument/2006/relationships/hyperlink" Target="https://dalil.kg/document/31124" TargetMode="External"/><Relationship Id="rId4w3hld0qys1r0tqvudd9p" Type="http://schemas.openxmlformats.org/officeDocument/2006/relationships/hyperlink" Target="https://dalil.kg/document/31124#p1" TargetMode="External"/><Relationship Id="rId-zhztfia_ddfs6qqttyd_" Type="http://schemas.openxmlformats.org/officeDocument/2006/relationships/hyperlink" Target="https://dalil.kg/document/31124#p2" TargetMode="External"/><Relationship Id="rId5h3u-kcfrftkoyuxzstto" Type="http://schemas.openxmlformats.org/officeDocument/2006/relationships/hyperlink" Target="https://dalil.kg/document/301244" TargetMode="External"/><Relationship Id="rIdqnd1_wwzlstfl8pvxobyf" Type="http://schemas.openxmlformats.org/officeDocument/2006/relationships/hyperlink" Target="https://dalil.kg/document/302367" TargetMode="External"/><Relationship Id="rIdebilq9zzm2nof1zq9bzyv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gtlyqi2upygomksirgz" Type="http://schemas.openxmlformats.org/officeDocument/2006/relationships/hyperlink" Target="https://dalil.kg/document/31124" TargetMode="External"/><Relationship Id="rIdnxvpxsunfmmkffgxsyv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2026-09-25T01:53:40.602Z</dcterms:created>
  <dcterms:modified xsi:type="dcterms:W3CDTF">2026-09-25T01:53:40.602Z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