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i/>
          <w:iCs/>
          <w:sz w:val="20"/>
          <w:szCs w:val="20"/>
        </w:rPr>
        <w:t xml:space="preserve">УТРАТИЛ СИЛУ
 в соответствии с </w:t>
      </w:r>
      <w:hyperlink w:history="1" r:id="rIde8p3i3av3xxg2boyskmgv">
        <w:r>
          <w:rPr>
            <w:rFonts w:ascii="Arial" w:cs="Arial" w:eastAsia="Arial" w:hAnsi="Arial"/>
            <w:i/>
            <w:iCs/>
            <w:color w:val="1D4ED8"/>
            <w:sz w:val="20"/>
            <w:szCs w:val="20"/>
            <w:u w:val="single"/>
          </w:rPr>
          <w:t xml:space="preserve">Указом</w:t>
        </w:r>
      </w:hyperlink>
      <w:r>
        <w:rPr>
          <w:rFonts w:ascii="Arial" w:cs="Arial" w:eastAsia="Arial" w:hAnsi="Arial"/>
          <w:i/>
          <w:iCs/>
          <w:sz w:val="20"/>
          <w:szCs w:val="20"/>
        </w:rPr>
        <w:t xml:space="preserve"> Президента КР от 31 декабря 2021 года УП № 587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г.Бишкек, Дом Правительства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от 2 июня 1999 года УП N 134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 УКАЗ ПРЕЗИДЕНТА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 О мерах по дальнейшему развитию системы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 правосудия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Формирование  авторитетной  судебной власти  в  стране  составляет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неотъемлемую   часть   современной  политики  развития  Кыргызстана  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является одной из важнейших проблем государства и общества.   В  новых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экономических    и    социальных  условиях,   закономерно   вызывающих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множество   правовых  деликтов  и  конфликтных  ситуаций,   неизмеримо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возрастает роль независимого и справедливого суда.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Судебная реформа, осуществляемая в стране в последние годы, еще не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возвысила    суды   до   необходимого  уровня  самостоятельности,    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реализация задач реформы не приобрела требуемой  целенаправленности  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последовательности.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Исходя  из  необходимости дальнейшего усиления судебной  власти  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повышения авторитета судов,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в  целях  реализации  конституционного принципа  о  гарантировании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государством судебной защиты прав и свобод граждан,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принимая  во  внимание  рекомендации III съезда  судей  Кыргызской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Республики    и   руководствуясь  статьей  42  </w:t>
      </w:r>
      <w:hyperlink w:history="1" r:id="rIdc6__i2yx9us9qkrk7izvf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Конституции</w:t>
        </w:r>
      </w:hyperlink>
      <w:r>
        <w:rPr>
          <w:rFonts w:ascii="Arial" w:cs="Arial" w:eastAsia="Arial" w:hAnsi="Arial"/>
          <w:sz w:val="20"/>
          <w:szCs w:val="20"/>
        </w:rPr>
        <w:t xml:space="preserve">  Кыргызской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Республики постановляю: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1.   Установить,    что   приоритетным   направлением   в   работе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государственных  органов  по реформированию законодательства  в  сфере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организации  и   порядка   деятельности  судов   является  обеспечение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скорого и полного восстановления нарушенного права.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2.  Правительству  Кыргызской  Республики  в  качестве  одного  из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наиболее  важных  направлений государственной политики   рассматривать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вопросы укрепления системы правосудия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В этих целях: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-  до   1  сентября  1999 года совместно с Судебным  департаментом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Кыргызской  Республики  определить  фактические  потребности  судов  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финансовых средствах и материально-техническом оснащении на 2000 год;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-    ежегодно    при    формировании   республиканского    бюджета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предусматривать    средства   на   финансирование   судебной   системы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Кыргызской  Республики  в  объемах,  необходимых  для  полноценного  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независимого  отправления правосудия  и обеспечивающих высокий  статус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суда в соответствии с требованиями Конституции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-   при    реализации   инвестиционной  политики   и   составлении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инвестиционных  проектов учитывать потребности  судебных   органов   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обеспечении  современными  средствами  связи  и  техникой,   а   также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необходимость участия судебных работников в обучающих программах;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-  до   1  января  2000  года разработать  Программу  по  развитию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материально-технической базы судебной системы Кыргызской Республики  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усилению  социальных  гарантий для судей и работников судов на  период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 2000 по 2005 годы.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3. Законодательному  собранию Жогорку Кенеша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при   составлении  программ  законодательной  работы   принимать    во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внимание  острую необходимость скорейшего формирования законодательной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базы, регламентирующей судебную деятельность в строгом соответствии  с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конституционными установлениями.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4. Областным, районным и городским государственным администрациям,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местному   самоуправлению города Бишкек в связи с вступлением  в  силу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Закона Кыргызской Республики "О Верховном суде  Кыргызской 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и  местных  судах  общей юрисдикции",  предусматривающего  передачу  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ведение  районных  и городских судов уголовных дел   по   всем   видам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преступлений   (включая   их  наиболее  тяжкие   и   опасные   формы),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безотлагательно  оказать  необходимую  помощь  Судебному  департаменту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Кыргызской  Республики  и  его территориальным органам в  оборудовании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помещений соответствующих районных и городских судов.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5. Конституционному  суду  Кыргызской Республики,  Верховному суду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Кыргызской    Республики,   Высшему   арбитражному   суду   Кыргызской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Республики,  местным   судам  принять меры  по  улучшению  организации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работы по своевременному и объективному  рассмотрению  судебных   дел,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заявлений,   жалоб граждан  и юридических лиц о нарушении  их  прав  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ущемлении законных интересов, исключить факты формального и бездушного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отношения к потерпевшим от неправомерных посягательств.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6. Правительству  Кыргызской  Республики,  Судебному  департаменту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Кыргызской   Республики  до 1 октября 1999 года  представить  отчет  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ходе  исполнения указов Президента Кыргызской Республики "О  некоторых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мерах по  усилению  судебной  власти и повышению авторитета судов"  от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27  июля  1994  года,   "О мерах по обеспечению деятельности  судебной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системы   Кыргызской Республики" от 6 января 1997 года,  "О  некоторых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организационных  мерах  по  ускорению судебной  реформы  в  Кыргызской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Республике" от 16 марта 1998 года, "О Судебном департаменте Кыргызской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Республики" от 31 июля 1998 года и распоряжения Президента  Кыргызской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Республики от 8 января 1997 года.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7.   Контроль   за  исполнением  настоящего  Указа  возложить   на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юридический отдел Администрации Президента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Президент Кыргызской Республики                   А.Акаев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e8p3i3av3xxg2boyskmgv" Type="http://schemas.openxmlformats.org/officeDocument/2006/relationships/hyperlink" Target="http://kodeks.duckdns.org/document/430828" TargetMode="External"/><Relationship Id="rIdc6__i2yx9us9qkrk7izvf" Type="http://schemas.openxmlformats.org/officeDocument/2006/relationships/hyperlink" Target="http://kodeks.duckdns.org/document/1" TargetMode="External"/><Relationship Id="rId7" Type="http://schemas.openxmlformats.org/officeDocument/2006/relationships/image" Target="media/93bec1c1538034512fe33c1434ae0ea86b639d33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2026-09-23T10:07:55.115Z</dcterms:created>
  <dcterms:modified xsi:type="dcterms:W3CDTF">2026-09-23T10:07:55.117Z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