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ezlmohrcys4fkbwiyv9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Республики26 декабря 2003 года. Регистрационный номер 123-03                                                    Утверждены                                              приказом Министерства                                            транспорта и коммуникаций                                              Кыргызской Республики                                          от 22 декабря 2003 года № 331                 Министерство транспорта и коммуникаций                         Кыргызской Республики                АВИАЦИОННЫЕ ПРАВИЛА КЫРГЫЗСКОЙ РЕСПУБЛИКИ                  АПКР39 "Директивы летной годности"                         Раздел 1 (Требования)      АПКР39.01. Общее      Эти правила устанавливают требования для выпуска,  распространенияи  контроля исполнения Директив летной годности и обеспечивают правовыерамки деятельности Департамента гражданской авиации Кыргызской  Респуб-лики в области Директив летной годности.      АПКР39.05. Определения      Эксплуатант - Лицо, организация или предприятие, занимающееся экс-плуатацией воздушных судов или предлагающее свои услуги в этой области.     "AD статус"  -  Документ,  ведущийся эксплуатантом,  для отражениядействующего на данный момент состояния выполнения директив летной год-ности.     Статус - Состояние выполнения директив летной годности.      АПКР39.10. Сокращения      ДГА - Департамент гражданской авиации Кыргызской Республики.      АПКР39.15. Применимость      (а) Настоящие Правила предписывают процедурные требования для  вы-пуска, распределения и контроля исполнения Директив летной годности.     (б) Директивы летной годности являются частью системы  нормативныхправовых актов Кыргызской Республики.     (в) Данные правила применяются к следующим изделиям:     1. воздушное судно, зарегистрированное в Кыргызской Республике;     2. воздушное судно,  зарегистрированное в другом государстве, но вотношении, которого полномочия по поддержанию летной годности, переданыДГА Кыргызской Республики в соответствии с соглашением по статье 83/бисКонвенции  о международной гражданской авиации,  подписанной в Чикаго 7декабря 1944 г. и ратифицированной </w:t>
      </w:r>
      <w:hyperlink w:history="1" r:id="rIdil-bwafadcmejpsx0st7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ЖК Кыргызской Респуб-лики от 18 декабря 1992 г. № 1117-XII;     3. двигатели воздушного судна, воздушные винты и комплектующие из-делия,  предназначенные для установки на воздушное судно, зарегистриро-ванное в Кыргызской Республике.      АПКР39.20. Директива летной годности и их содержание      (а) Директива летной годности - документ,  выпущенный ДГА, которыйобязывает выполнить на изделии действия, чтобы устранить опасное состо-яние или нежелательное условие.     (б) Директива летной годности содержит, как минимум, следующую ин-формацию:     1. определение опасного состояния;     2. обозначение неисправного самолета;     3. требуемые мероприятия (действия);     4. наработка или срок выполнения требуемых действий; и     5. дата введения в действие;     6. офис,  ответственный за ее выпуск и утверждение метода выполне-ния;     7. Указание на срочность выполнения директивы.      АПКР39.25. Выпуск Директив летной годности      (а) ДГА выпускает Директиву летной годности, обращенную к изделию,когда обнаружено что:     1. на воздушном судне,  двигателе, воздушном винте, компоненте илиприборе,  установленном  на воздушном судне,  обнаружено наличие отказаили неисправности, в результате чего возникает опасное состояние; и     2. опасное состояние, вероятно, имеется или проявится в других из-делиях такого же типа авиационной техники.     (б) ДГА  выпускает  Директиву летной годности в соответствии с Ди-рективой изданной другим государством, извещением изготовителя или раз-работчика  об обнаружении опасного состояния на изделии,  которое можетоказать влияние на безопасный уровень при выполнении полета.      АПКР39.30. Юридические последствия использования воздушного судна                или изделия, которые не отвечают требованиям Директивы                летной годности      (а) Никакой Эксплуатант не может использовать изделие,  к которомуобращена Директива летной годности, кроме как в соответствии с требова-ниями этой Директивы, если иначе не разрешено ДГА.     (б) Если  требования  Директивы летной годности не были выполнены,то эксплуатация изделия рассматривается как выпуск в полет неисправноговоздушного  судна,  что  влечет за собой ответственность виновных лиц всоответствии с законодательством Кыргызской Республики.      АПКР39.35. Каких действий требуют Директивы летной годности      Директивы летной годности определяют:     (а) осмотры, которые должны быть выполнены;     (b) условия и ограничения, которые должны быть исполнены;     (c) любые действия, которые должны устранить опасное состояние.      АПКР39.40. Применение Директивы летной годности, если изделие было                изменено      Директива летной годности адресуется к каждому изделию, указанномув ней,  даже если конкретное изделие было изменено,  модифицировано илиотремонтировано в части, к которой обращена Директива летной годности.      АПКР39.45. Действия, когда изменение в изделии затрагивает                способность достичь действий, требуемых в Директиве                летной годности      (а) Если изменение в изделии не позволяет выполнить действия, тре-буемые  в  соответствии  с Директивой летной годности,  указанным в нейспособом, необходимо запросить от ДГА утверждения альтернативного мето-да выполнения.     (б) Если нет возможности показать, что изменение устранило опасноесостояние, то запрос должен содержать описание конкретных действий, ко-торые необходимо адресовать опасному состоянию.      АПКР39.50. Устранение опасного состояния методом, иным как                изложено в Директиве летной годности      (а) Любой  Эксплуатант  может  предложить ДГА альтернативный методвыполнения Директивы, запрошенный для одобрения у разработчика.     (б) Разработчик может одобрить альтернативный метод выполнения Ди-рективы, а ДГА может утвердить его. Применять альтернативный метод мож-но,  только если он одобрен разработчиком и утвержден ДГА.  Если это несоблюдено директива должна быть выполнена в строгом соответствии с  ме-тодом, указанным в ней.      АПКР39.55. Возможность перелета самолета на базу ремонта, чтобы                сделать работу, требуемую в соответствии с Директивой                летной годности      Если требуется  выполнить перелет на базу ремонта,  где могут бытьвыполнены ремонт, модификации или другие работы, которые требует дирек-тива летной годности, ДГА может дать специальное разрешение на перелет,если Директива не заявляет иначе.      АПКР39.60. Действия, когда Директива летной годности находится                в противоречии с документом, регламентирующим                техническое обслуживание      В случае если Директива летной годности включает ссылку  на  доку-мент производителя (разработчика),  регламентирующий техническое обслу-живание, то документ, регламентирующий техническое обслуживание, стано-вится частью Директивы летной годности.  В документы,  регламентирующиетехническое обслуживание могут быть внесены изменения в соответствии  сДирективой летной годности.  Если установлен конфликт между документом,регламентирующим техническое обслуживание и Директивой летной годности,необходимо следовать требованиям Директивы летной годности.      АПКР39.65. Учет выполнения Директив летной годности      (а) Эксплуатант обязан ввести учет выполнения Директив летной год-ности по каждому изделию.     (b) Эксплуатант обязан ввести, "AD статус".     c) Эксплуатант обязан предоставить отчет в ДГА по  выполнению  ди-рективы летной годности.      АПКР39.70. Передача записей учета выполнения Директив летной                годности      В случае если изделие переходит во владение  другого  ЭксплуатантаСтатус  Директив летной годности в обязательном порядке должен быть пе-редан новому владельцу вместе с изделием.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9o2rruy5fhovrlmg4kqi">
      <w:r>
        <w:rPr>
          <w:rFonts w:ascii="Arial" w:cs="Arial" w:eastAsia="Arial" w:hAnsi="Arial"/>
          <w:color w:val="132D3F"/>
          <w:sz w:val="16"/>
          <w:szCs w:val="16"/>
          <w:u w:val="single"/>
        </w:rPr>
        <w:t xml:space="preserve">dalil.kg/document/31285</w:t>
      </w:r>
    </w:hyperlink>
  </w:p>
  <w:p>
    <w:pPr>
      <w:spacing w:after="0" w:before="40"/>
      <w:jc w:val="center"/>
    </w:pPr>
    <w:hyperlink w:history="1" r:id="rId2yxp5l77djtjws_cmdrf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ezlmohrcys4fkbwiyv9t" Type="http://schemas.openxmlformats.org/officeDocument/2006/relationships/hyperlink" Target="https://dalil.kg/document/202591" TargetMode="External"/><Relationship Id="rIdil-bwafadcmejpsx0st77" Type="http://schemas.openxmlformats.org/officeDocument/2006/relationships/hyperlink" Target="https://dalil.kg/document/5102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9o2rruy5fhovrlmg4kqi" Type="http://schemas.openxmlformats.org/officeDocument/2006/relationships/hyperlink" Target="https://dalil.kg/document/31285" TargetMode="External"/><Relationship Id="rId2yxp5l77djtjws_cmdrf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2026-10-01T08:04:21.845Z</dcterms:created>
  <dcterms:modified xsi:type="dcterms:W3CDTF">2026-10-01T08:04:21.845Z</dcterms:modified>
</cp:coreProperties>
</file>

<file path=docProps/custom.xml><?xml version="1.0" encoding="utf-8"?>
<Properties xmlns="http://schemas.openxmlformats.org/officeDocument/2006/custom-properties" xmlns:vt="http://schemas.openxmlformats.org/officeDocument/2006/docPropsVTypes"/>
</file>