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jc w:val="both"/>
      </w:pPr>
      <w:r>
        <w:rPr>
          <w:rFonts w:ascii="Arial" w:cs="Arial" w:eastAsia="Arial" w:hAnsi="Arial"/>
          <w:sz w:val="24"/>
          <w:szCs w:val="24"/>
        </w:rPr>
        <w:t xml:space="preserve">Зарегистрировано в Министерстве юстиции Кыргызской Республики</w:t>
      </w:r>
    </w:p>
    <w:p>
      <w:pPr>
        <w:spacing w:after="60"/>
        <w:jc w:val="both"/>
      </w:pPr>
      <w:r>
        <w:rPr>
          <w:rFonts w:ascii="Arial" w:cs="Arial" w:eastAsia="Arial" w:hAnsi="Arial"/>
          <w:sz w:val="24"/>
          <w:szCs w:val="24"/>
        </w:rPr>
        <w:t xml:space="preserve">23 августа 2004 года. Регистрационный номер 94-04</w:t>
      </w:r>
    </w:p>
    <w:p>
      <w:pPr>
        <w:spacing w:after="60"/>
        <w:ind w:firstLine="567"/>
        <w:jc w:val="center"/>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Утверждено 
 </w:t>
      </w:r>
      <w:hyperlink w:history="1" r:id="rIdzyzm94ve9oh3f6i7hnise">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Национального банка 
 Кыргызской Республики 
 от 21 июля 2004 года N 18/3</w:t>
      </w:r>
    </w:p>
    <w:p>
      <w:pPr>
        <w:spacing w:after="400" w:before="400"/>
        <w:jc w:val="center"/>
      </w:pPr>
      <w:r>
        <w:rPr>
          <w:rFonts w:ascii="Arial" w:cs="Arial" w:eastAsia="Arial" w:hAnsi="Arial"/>
          <w:b/>
          <w:bCs/>
          <w:sz w:val="32"/>
          <w:szCs w:val="32"/>
        </w:rPr>
        <w:t xml:space="preserve">ПОЛОЖЕНИЕ </w:t>
      </w:r>
    </w:p>
    <w:p>
      <w:pPr>
        <w:spacing w:after="60" w:before="200"/>
        <w:ind w:firstLine="567"/>
        <w:jc w:val="center"/>
      </w:pPr>
      <w:r>
        <w:rPr>
          <w:rFonts w:ascii="Arial" w:cs="Arial" w:eastAsia="Arial" w:hAnsi="Arial"/>
          <w:b/>
          <w:bCs/>
          <w:sz w:val="32"/>
          <w:szCs w:val="32"/>
        </w:rPr>
        <w:t xml:space="preserve">ИНСТРУКЦИЯ 
 по определению стандартов достаточности (адекватности) капитала коммерческих банков Кыргызской Республики</w:t>
      </w:r>
    </w:p>
    <w:p>
      <w:pPr>
        <w:spacing w:after="200"/>
        <w:jc w:val="center"/>
      </w:pPr>
      <w:r>
        <w:rPr>
          <w:rFonts w:ascii="Arial" w:cs="Arial" w:eastAsia="Arial" w:hAnsi="Arial"/>
          <w:i/>
          <w:iCs/>
          <w:sz w:val="24"/>
          <w:szCs w:val="24"/>
        </w:rPr>
        <w:t xml:space="preserve">(В редакции постановлений Правления Нацбанка КР от </w:t>
      </w:r>
      <w:hyperlink w:history="1" r:id="rIdbflagb8x8pyrsnksca8mt">
        <w:r>
          <w:rPr>
            <w:rFonts w:ascii="Arial" w:cs="Arial" w:eastAsia="Arial" w:hAnsi="Arial"/>
            <w:i/>
            <w:iCs/>
            <w:color w:val="1D4ED8"/>
            <w:sz w:val="24"/>
            <w:szCs w:val="24"/>
            <w:u w:val="single"/>
          </w:rPr>
          <w:t xml:space="preserve">23 октября 2004 года № 26/3</w:t>
        </w:r>
      </w:hyperlink>
      <w:r>
        <w:rPr>
          <w:rFonts w:ascii="Arial" w:cs="Arial" w:eastAsia="Arial" w:hAnsi="Arial"/>
          <w:i/>
          <w:iCs/>
          <w:sz w:val="24"/>
          <w:szCs w:val="24"/>
        </w:rPr>
        <w:t xml:space="preserve">, </w:t>
      </w:r>
      <w:hyperlink w:history="1" r:id="rIdjtyj1cooxwzpbijapgtxl">
        <w:r>
          <w:rPr>
            <w:rFonts w:ascii="Arial" w:cs="Arial" w:eastAsia="Arial" w:hAnsi="Arial"/>
            <w:i/>
            <w:iCs/>
            <w:color w:val="1D4ED8"/>
            <w:sz w:val="24"/>
            <w:szCs w:val="24"/>
            <w:u w:val="single"/>
          </w:rPr>
          <w:t xml:space="preserve">10 июня 2009 года № 26/2</w:t>
        </w:r>
      </w:hyperlink>
      <w:r>
        <w:rPr>
          <w:rFonts w:ascii="Arial" w:cs="Arial" w:eastAsia="Arial" w:hAnsi="Arial"/>
          <w:i/>
          <w:iCs/>
          <w:sz w:val="24"/>
          <w:szCs w:val="24"/>
        </w:rPr>
        <w:t xml:space="preserve">, </w:t>
      </w:r>
      <w:hyperlink w:history="1" r:id="rId5nmhjz8foifrmhdr9n1ie">
        <w:r>
          <w:rPr>
            <w:rFonts w:ascii="Arial" w:cs="Arial" w:eastAsia="Arial" w:hAnsi="Arial"/>
            <w:i/>
            <w:iCs/>
            <w:color w:val="1D4ED8"/>
            <w:sz w:val="24"/>
            <w:szCs w:val="24"/>
            <w:u w:val="single"/>
          </w:rPr>
          <w:t xml:space="preserve">26 августа 2009 года № 35/4</w:t>
        </w:r>
      </w:hyperlink>
      <w:r>
        <w:rPr>
          <w:rFonts w:ascii="Arial" w:cs="Arial" w:eastAsia="Arial" w:hAnsi="Arial"/>
          <w:i/>
          <w:iCs/>
          <w:sz w:val="24"/>
          <w:szCs w:val="24"/>
        </w:rPr>
        <w:t xml:space="preserve">, </w:t>
      </w:r>
      <w:hyperlink w:history="1" r:id="rIdohd1rk4w62h_u7anlbrmf">
        <w:r>
          <w:rPr>
            <w:rFonts w:ascii="Arial" w:cs="Arial" w:eastAsia="Arial" w:hAnsi="Arial"/>
            <w:i/>
            <w:iCs/>
            <w:color w:val="1D4ED8"/>
            <w:sz w:val="24"/>
            <w:szCs w:val="24"/>
            <w:u w:val="single"/>
          </w:rPr>
          <w:t xml:space="preserve">25 апреля 2012 года № 18/9</w:t>
        </w:r>
      </w:hyperlink>
      <w:r>
        <w:rPr>
          <w:rFonts w:ascii="Arial" w:cs="Arial" w:eastAsia="Arial" w:hAnsi="Arial"/>
          <w:i/>
          <w:iCs/>
          <w:sz w:val="24"/>
          <w:szCs w:val="24"/>
        </w:rPr>
        <w:t xml:space="preserve">, </w:t>
      </w:r>
      <w:hyperlink w:history="1" r:id="rIdg7binsa9-cw248jdwqfsu">
        <w:r>
          <w:rPr>
            <w:rFonts w:ascii="Arial" w:cs="Arial" w:eastAsia="Arial" w:hAnsi="Arial"/>
            <w:i/>
            <w:iCs/>
            <w:color w:val="1D4ED8"/>
            <w:sz w:val="24"/>
            <w:szCs w:val="24"/>
            <w:u w:val="single"/>
          </w:rPr>
          <w:t xml:space="preserve">16 ноября 2012 года № 43/1</w:t>
        </w:r>
      </w:hyperlink>
      <w:r>
        <w:rPr>
          <w:rFonts w:ascii="Arial" w:cs="Arial" w:eastAsia="Arial" w:hAnsi="Arial"/>
          <w:i/>
          <w:iCs/>
          <w:sz w:val="24"/>
          <w:szCs w:val="24"/>
        </w:rPr>
        <w:t xml:space="preserve">, </w:t>
      </w:r>
      <w:hyperlink w:history="1" r:id="rIdwcrt6hjfjvnjbx50ppphf">
        <w:r>
          <w:rPr>
            <w:rFonts w:ascii="Arial" w:cs="Arial" w:eastAsia="Arial" w:hAnsi="Arial"/>
            <w:i/>
            <w:iCs/>
            <w:color w:val="1D4ED8"/>
            <w:sz w:val="24"/>
            <w:szCs w:val="24"/>
            <w:u w:val="single"/>
          </w:rPr>
          <w:t xml:space="preserve">12 декабря 2012 года № 48/10,</w:t>
        </w:r>
      </w:hyperlink>
      <w:hyperlink w:history="1" r:id="rIdwrh9lkre2tepdbn8xzope">
        <w:r>
          <w:rPr>
            <w:rFonts w:ascii="Arial" w:cs="Arial" w:eastAsia="Arial" w:hAnsi="Arial"/>
            <w:i/>
            <w:iCs/>
            <w:color w:val="1D4ED8"/>
            <w:sz w:val="24"/>
            <w:szCs w:val="24"/>
            <w:u w:val="single"/>
          </w:rPr>
          <w:t xml:space="preserve">15 апреля 2015 года № 22/7</w:t>
        </w:r>
      </w:hyperlink>
      <w:r>
        <w:rPr>
          <w:rFonts w:ascii="Arial" w:cs="Arial" w:eastAsia="Arial" w:hAnsi="Arial"/>
          <w:i/>
          <w:iCs/>
          <w:sz w:val="24"/>
          <w:szCs w:val="24"/>
        </w:rPr>
        <w:t xml:space="preserve">, </w:t>
      </w:r>
      <w:hyperlink w:history="1" r:id="rIdqby7iv3xb1jlbcwm2smsd">
        <w:r>
          <w:rPr>
            <w:rFonts w:ascii="Arial" w:cs="Arial" w:eastAsia="Arial" w:hAnsi="Arial"/>
            <w:i/>
            <w:iCs/>
            <w:color w:val="1D4ED8"/>
            <w:sz w:val="24"/>
            <w:szCs w:val="24"/>
            <w:u w:val="single"/>
          </w:rPr>
          <w:t xml:space="preserve">23 декабря 2015 года № 78/23</w:t>
        </w:r>
      </w:hyperlink>
      <w:r>
        <w:rPr>
          <w:rFonts w:ascii="Arial" w:cs="Arial" w:eastAsia="Arial" w:hAnsi="Arial"/>
          <w:i/>
          <w:iCs/>
          <w:sz w:val="24"/>
          <w:szCs w:val="24"/>
        </w:rPr>
        <w:t xml:space="preserve">, </w:t>
      </w:r>
      <w:hyperlink w:history="1" r:id="rIdpamh6jyrxr304et2m6o1q">
        <w:r>
          <w:rPr>
            <w:rFonts w:ascii="Arial" w:cs="Arial" w:eastAsia="Arial" w:hAnsi="Arial"/>
            <w:i/>
            <w:iCs/>
            <w:color w:val="1D4ED8"/>
            <w:sz w:val="24"/>
            <w:szCs w:val="24"/>
            <w:u w:val="single"/>
          </w:rPr>
          <w:t xml:space="preserve">27 апреля 2016 года № 19/6</w:t>
        </w:r>
      </w:hyperlink>
      <w:r>
        <w:rPr>
          <w:rFonts w:ascii="Arial" w:cs="Arial" w:eastAsia="Arial" w:hAnsi="Arial"/>
          <w:i/>
          <w:iCs/>
          <w:sz w:val="24"/>
          <w:szCs w:val="24"/>
        </w:rPr>
        <w:t xml:space="preserve">, </w:t>
      </w:r>
      <w:hyperlink w:history="1" r:id="rIdztki8oyd9ursrgjbkfsqj">
        <w:r>
          <w:rPr>
            <w:rFonts w:ascii="Arial" w:cs="Arial" w:eastAsia="Arial" w:hAnsi="Arial"/>
            <w:i/>
            <w:iCs/>
            <w:color w:val="1D4ED8"/>
            <w:sz w:val="24"/>
            <w:szCs w:val="24"/>
            <w:u w:val="single"/>
          </w:rPr>
          <w:t xml:space="preserve">15 июня 2016 года № 25/1</w:t>
        </w:r>
      </w:hyperlink>
      <w:r>
        <w:rPr>
          <w:rFonts w:ascii="Arial" w:cs="Arial" w:eastAsia="Arial" w:hAnsi="Arial"/>
          <w:i/>
          <w:iCs/>
          <w:sz w:val="24"/>
          <w:szCs w:val="24"/>
        </w:rPr>
        <w:t xml:space="preserve">, </w:t>
      </w:r>
      <w:hyperlink w:history="1" r:id="rIdn93fhqxx31xptv8eanjgo">
        <w:r>
          <w:rPr>
            <w:rFonts w:ascii="Arial" w:cs="Arial" w:eastAsia="Arial" w:hAnsi="Arial"/>
            <w:i/>
            <w:iCs/>
            <w:color w:val="1D4ED8"/>
            <w:sz w:val="24"/>
            <w:szCs w:val="24"/>
            <w:u w:val="single"/>
          </w:rPr>
          <w:t xml:space="preserve">14 декабря 2016 года № 48/11,</w:t>
        </w:r>
      </w:hyperlink>
      <w:r>
        <w:rPr>
          <w:rFonts w:ascii="Arial" w:cs="Arial" w:eastAsia="Arial" w:hAnsi="Arial"/>
          <w:i/>
          <w:iCs/>
          <w:sz w:val="24"/>
          <w:szCs w:val="24"/>
        </w:rPr>
        <w:t xml:space="preserve">26 апреля 2017 года № 17/13</w:t>
      </w:r>
      <w:r>
        <w:rPr>
          <w:rFonts w:ascii="Arial" w:cs="Arial" w:eastAsia="Arial" w:hAnsi="Arial"/>
          <w:i/>
          <w:iCs/>
          <w:sz w:val="24"/>
          <w:szCs w:val="24"/>
        </w:rPr>
        <w:t xml:space="preserve">, </w:t>
      </w:r>
      <w:hyperlink w:history="1" r:id="rIdmbsbbx3ghwmthl6yzrovy">
        <w:r>
          <w:rPr>
            <w:rFonts w:ascii="Arial" w:cs="Arial" w:eastAsia="Arial" w:hAnsi="Arial"/>
            <w:i/>
            <w:iCs/>
            <w:color w:val="1D4ED8"/>
            <w:sz w:val="24"/>
            <w:szCs w:val="24"/>
            <w:u w:val="single"/>
          </w:rPr>
          <w:t xml:space="preserve">15 июня 2017 года № 2017-П-12/25-5</w:t>
        </w:r>
      </w:hyperlink>
      <w:r>
        <w:rPr>
          <w:rFonts w:ascii="Arial" w:cs="Arial" w:eastAsia="Arial" w:hAnsi="Arial"/>
          <w:i/>
          <w:iCs/>
          <w:sz w:val="24"/>
          <w:szCs w:val="24"/>
        </w:rPr>
        <w:t xml:space="preserve">, </w:t>
      </w:r>
      <w:hyperlink w:history="1" r:id="rId0bg2wmpzenkldenwqkn5f">
        <w:r>
          <w:rPr>
            <w:rFonts w:ascii="Arial" w:cs="Arial" w:eastAsia="Arial" w:hAnsi="Arial"/>
            <w:i/>
            <w:iCs/>
            <w:color w:val="1D4ED8"/>
            <w:sz w:val="24"/>
            <w:szCs w:val="24"/>
            <w:u w:val="single"/>
          </w:rPr>
          <w:t xml:space="preserve">15 августа 2018 года № 2018-П-12/33-6</w:t>
        </w:r>
      </w:hyperlink>
      <w:r>
        <w:rPr>
          <w:rFonts w:ascii="Arial" w:cs="Arial" w:eastAsia="Arial" w:hAnsi="Arial"/>
          <w:i/>
          <w:iCs/>
          <w:sz w:val="24"/>
          <w:szCs w:val="24"/>
        </w:rPr>
        <w:t xml:space="preserve">, </w:t>
      </w:r>
      <w:hyperlink w:history="1" r:id="rIdzvtf6vhkgylq7qpacsqu5">
        <w:r>
          <w:rPr>
            <w:rFonts w:ascii="Arial" w:cs="Arial" w:eastAsia="Arial" w:hAnsi="Arial"/>
            <w:i/>
            <w:iCs/>
            <w:color w:val="1D4ED8"/>
            <w:sz w:val="24"/>
            <w:szCs w:val="24"/>
            <w:u w:val="single"/>
          </w:rPr>
          <w:t xml:space="preserve">26 декабря 2018 года № 2018-П-12/58-10</w:t>
        </w:r>
      </w:hyperlink>
      <w:r>
        <w:rPr>
          <w:rFonts w:ascii="Arial" w:cs="Arial" w:eastAsia="Arial" w:hAnsi="Arial"/>
          <w:i/>
          <w:iCs/>
          <w:sz w:val="24"/>
          <w:szCs w:val="24"/>
        </w:rPr>
        <w:t xml:space="preserve">, </w:t>
      </w:r>
      <w:hyperlink w:history="1" r:id="rId_ikicnc3rxjiha5eu0asd">
        <w:r>
          <w:rPr>
            <w:rFonts w:ascii="Arial" w:cs="Arial" w:eastAsia="Arial" w:hAnsi="Arial"/>
            <w:i/>
            <w:iCs/>
            <w:color w:val="1D4ED8"/>
            <w:sz w:val="24"/>
            <w:szCs w:val="24"/>
            <w:u w:val="single"/>
          </w:rPr>
          <w:t xml:space="preserve">14 марта 2019 года № 2019-П-12/11-1</w:t>
        </w:r>
      </w:hyperlink>
      <w:hyperlink w:history="1" r:id="rIdfm6dv68wcc-lvtanlgsdt">
        <w:r>
          <w:rPr>
            <w:rFonts w:ascii="Arial" w:cs="Arial" w:eastAsia="Arial" w:hAnsi="Arial"/>
            <w:i/>
            <w:iCs/>
            <w:color w:val="1D4ED8"/>
            <w:sz w:val="24"/>
            <w:szCs w:val="24"/>
            <w:u w:val="single"/>
          </w:rPr>
          <w:t xml:space="preserve">, 10 апреля 2019 года № 2019-П-12/19-3</w:t>
        </w:r>
      </w:hyperlink>
      <w:r>
        <w:rPr>
          <w:rFonts w:ascii="Arial" w:cs="Arial" w:eastAsia="Arial" w:hAnsi="Arial"/>
          <w:i/>
          <w:iCs/>
          <w:sz w:val="24"/>
          <w:szCs w:val="24"/>
        </w:rPr>
        <w:t xml:space="preserve">,</w:t>
      </w:r>
      <w:hyperlink w:history="1" r:id="rIdg2ukkxufpotosviq1uhpw">
        <w:r>
          <w:rPr>
            <w:rFonts w:ascii="Arial" w:cs="Arial" w:eastAsia="Arial" w:hAnsi="Arial"/>
            <w:color w:val="1D4ED8"/>
            <w:sz w:val="24"/>
            <w:szCs w:val="24"/>
            <w:u w:val="single"/>
          </w:rPr>
          <w:t xml:space="preserve">15 сентября 2021</w:t>
        </w:r>
        <w:r>
          <w:rPr>
            <w:rFonts w:ascii="Arial" w:cs="Arial" w:eastAsia="Arial" w:hAnsi="Arial"/>
            <w:color w:val="1D4ED8"/>
            <w:sz w:val="24"/>
            <w:szCs w:val="24"/>
            <w:u w:val="single"/>
          </w:rPr>
          <w:t xml:space="preserve"> года № </w:t>
        </w:r>
        <w:r>
          <w:rPr>
            <w:rFonts w:ascii="Arial" w:cs="Arial" w:eastAsia="Arial" w:hAnsi="Arial"/>
            <w:color w:val="1D4ED8"/>
            <w:sz w:val="24"/>
            <w:szCs w:val="24"/>
            <w:u w:val="single"/>
          </w:rPr>
          <w:t xml:space="preserve">2021-П-12/51-1-(НПА)</w:t>
        </w:r>
      </w:hyperlink>
      <w:r>
        <w:rPr>
          <w:rFonts w:ascii="Arial" w:cs="Arial" w:eastAsia="Arial" w:hAnsi="Arial"/>
          <w:sz w:val="24"/>
          <w:szCs w:val="24"/>
        </w:rPr>
        <w:t xml:space="preserve">, </w:t>
      </w:r>
      <w:hyperlink w:history="1" r:id="rId1jjmkdnvqyqt6gbgznh81">
        <w:r>
          <w:rPr>
            <w:rFonts w:ascii="Arial" w:cs="Arial" w:eastAsia="Arial" w:hAnsi="Arial"/>
            <w:color w:val="1D4ED8"/>
            <w:sz w:val="24"/>
            <w:szCs w:val="24"/>
            <w:u w:val="single"/>
          </w:rPr>
          <w:t xml:space="preserve">15-декабря 2021 года №2021-П-12/70-3-(НПА)</w:t>
        </w:r>
      </w:hyperlink>
      <w:r>
        <w:rPr>
          <w:rFonts w:ascii="Arial" w:cs="Arial" w:eastAsia="Arial" w:hAnsi="Arial"/>
          <w:sz w:val="24"/>
          <w:szCs w:val="24"/>
        </w:rPr>
        <w:t xml:space="preserve">, </w:t>
      </w:r>
      <w:hyperlink w:history="1" r:id="rIduq9pfesx49ttmlcrtt5ts">
        <w:r>
          <w:rPr>
            <w:rFonts w:ascii="Arial" w:cs="Arial" w:eastAsia="Arial" w:hAnsi="Arial"/>
            <w:i/>
            <w:iCs/>
            <w:color w:val="1D4ED8"/>
            <w:sz w:val="24"/>
            <w:szCs w:val="24"/>
            <w:u w:val="single"/>
          </w:rPr>
          <w:t xml:space="preserve">23 марта 2022 года № 2022-П-12/17-4</w:t>
        </w:r>
      </w:hyperlink>
      <w:r>
        <w:rPr>
          <w:rFonts w:ascii="Arial" w:cs="Arial" w:eastAsia="Arial" w:hAnsi="Arial"/>
          <w:i/>
          <w:iCs/>
          <w:sz w:val="24"/>
          <w:szCs w:val="24"/>
        </w:rPr>
        <w:t xml:space="preserve">, </w:t>
      </w:r>
      <w:hyperlink w:history="1" r:id="rIdku6k7o8jizivfjgn6ob9i">
        <w:r>
          <w:rPr>
            <w:rFonts w:ascii="Arial" w:cs="Arial" w:eastAsia="Arial" w:hAnsi="Arial"/>
            <w:i/>
            <w:iCs/>
            <w:color w:val="1D4ED8"/>
            <w:sz w:val="24"/>
            <w:szCs w:val="24"/>
            <w:u w:val="single"/>
          </w:rPr>
          <w:t xml:space="preserve">23 марта 2022 года № 2022-П-12/17-6</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1. Общие положения</w:t>
      </w:r>
    </w:p>
    <w:p>
      <w:pPr>
        <w:spacing w:after="20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Настоящая Инструкция устанавливает стандарты достаточности (адекватности) капитала коммерческих банков и определяет его структуру.</w:t>
      </w:r>
    </w:p>
    <w:p>
      <w:pPr>
        <w:spacing w:after="120"/>
        <w:jc w:val="both"/>
      </w:pPr>
      <w:r>
        <w:rPr>
          <w:rFonts w:ascii="Arial" w:cs="Arial" w:eastAsia="Arial" w:hAnsi="Arial"/>
          <w:sz w:val="24"/>
          <w:szCs w:val="24"/>
        </w:rPr>
        <w:t xml:space="preserve">Настоящая Инструкция распространяется на коммерческие банки, в том числе, имеющие "исламское окно", Государственный банк развития, а также на ОАО "Финансовая компания кредитных союзов" в части определения структуры капитала, порядка расчета минимального размера собственного (регулятивного) капитала и коэффициентов достаточности (адекватности) капитала, а также оценки балансовых активов и забалансовых обязательств по степени риска (далее - банки).</w:t>
      </w:r>
    </w:p>
    <w:p>
      <w:pPr>
        <w:spacing w:after="120"/>
        <w:jc w:val="both"/>
      </w:pPr>
      <w:r>
        <w:rPr>
          <w:rFonts w:ascii="Arial" w:cs="Arial" w:eastAsia="Arial" w:hAnsi="Arial"/>
          <w:sz w:val="24"/>
          <w:szCs w:val="24"/>
        </w:rPr>
        <w:t xml:space="preserve">(В редакции постановления Правления Нацбанка КР от </w:t>
      </w:r>
      <w:hyperlink w:history="1" r:id="rIdepywphbj6nw9ayrw5hfxx">
        <w:r>
          <w:rPr>
            <w:rFonts w:ascii="Arial" w:cs="Arial" w:eastAsia="Arial" w:hAnsi="Arial"/>
            <w:color w:val="1D4ED8"/>
            <w:sz w:val="24"/>
            <w:szCs w:val="24"/>
            <w:u w:val="single"/>
          </w:rPr>
          <w:t xml:space="preserve">15 июня 2017 года № 2017-П-12/25-5</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1.2. Капитал банка является обеспечением прибыльного и устойчивого роста, гарантом доверия клиентов к банку и служит для покрытия потенциальных потерь, свойственных банковскому делу.</w:t>
      </w:r>
    </w:p>
    <w:p>
      <w:pPr>
        <w:spacing w:after="120"/>
        <w:jc w:val="both"/>
      </w:pPr>
      <w:r>
        <w:rPr>
          <w:rFonts w:ascii="Arial" w:cs="Arial" w:eastAsia="Arial" w:hAnsi="Arial"/>
          <w:sz w:val="24"/>
          <w:szCs w:val="24"/>
        </w:rPr>
        <w:t xml:space="preserve">1.3. Для органов банковского надзора капитал является средством, предохраняющим от последствий чрезмерных рисковых ситуаций и финансовой несостоятельности (неплатежеспособности) банка. По этой причине органы банковского надзора заинтересованы в том, чтобы банки располагали адекватным капиталом, способным покрывать возможные убытки и потери без угрозы наступления состояния неплатежеспособности.</w:t>
      </w:r>
    </w:p>
    <w:p>
      <w:pPr>
        <w:spacing w:after="120"/>
        <w:jc w:val="both"/>
      </w:pPr>
      <w:r>
        <w:rPr>
          <w:rFonts w:ascii="Arial" w:cs="Arial" w:eastAsia="Arial" w:hAnsi="Arial"/>
          <w:sz w:val="24"/>
          <w:szCs w:val="24"/>
        </w:rPr>
        <w:t xml:space="preserve">1.4. Термин "достаточность (адекватность) капитала" отражает общую оценку надежности банка, степень его подверженности риску. Трактовка капитала как средства защиты от потерь и состояния неплатежеспособности, обуславливает прямую зависимость между величиной капитала и подверженностью банка риску, т.е. величина капитала должна быть адекватной увеличивающемуся объему банковских операций, сопряженных с высокой степенью риска.</w:t>
      </w:r>
    </w:p>
    <w:p>
      <w:pPr>
        <w:spacing w:after="120"/>
        <w:jc w:val="both"/>
      </w:pPr>
      <w:r>
        <w:rPr>
          <w:rFonts w:ascii="Arial" w:cs="Arial" w:eastAsia="Arial" w:hAnsi="Arial"/>
          <w:sz w:val="24"/>
          <w:szCs w:val="24"/>
        </w:rPr>
        <w:t xml:space="preserve">2. Стандарты достаточности (адекватности) капитала</w:t>
      </w:r>
    </w:p>
    <w:p>
      <w:pPr>
        <w:spacing w:after="120"/>
        <w:jc w:val="both"/>
      </w:pPr>
      <w:r>
        <w:rPr>
          <w:rFonts w:ascii="Arial" w:cs="Arial" w:eastAsia="Arial" w:hAnsi="Arial"/>
          <w:sz w:val="24"/>
          <w:szCs w:val="24"/>
        </w:rPr>
        <w:t xml:space="preserve">2.1. Минимальный размер капитала:</w:t>
      </w:r>
    </w:p>
    <w:p>
      <w:pPr>
        <w:spacing w:after="120"/>
        <w:jc w:val="both"/>
      </w:pPr>
      <w:r>
        <w:rPr>
          <w:rFonts w:ascii="Arial" w:cs="Arial" w:eastAsia="Arial" w:hAnsi="Arial"/>
          <w:sz w:val="24"/>
          <w:szCs w:val="24"/>
        </w:rPr>
        <w:t xml:space="preserve">2.1.1. Минимальный размер уставного капитала банков (включая филиалы иностранных банков).</w:t>
      </w:r>
    </w:p>
    <w:p>
      <w:pPr>
        <w:spacing w:after="120"/>
        <w:jc w:val="both"/>
      </w:pPr>
      <w:r>
        <w:rPr>
          <w:rFonts w:ascii="Arial" w:cs="Arial" w:eastAsia="Arial" w:hAnsi="Arial"/>
          <w:sz w:val="24"/>
          <w:szCs w:val="24"/>
        </w:rPr>
        <w:t xml:space="preserve">(В редакции </w:t>
      </w:r>
      <w:hyperlink w:history="1" r:id="rIdjmwyu43xomwcaa8nfjyb7">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Правления Нацбанка КР от 10 июня 2009 года N 26/2)</w:t>
      </w:r>
    </w:p>
    <w:p>
      <w:pPr>
        <w:spacing w:after="120"/>
        <w:jc w:val="both"/>
      </w:pPr>
      <w:r>
        <w:rPr>
          <w:rFonts w:ascii="Arial" w:cs="Arial" w:eastAsia="Arial" w:hAnsi="Arial"/>
          <w:sz w:val="24"/>
          <w:szCs w:val="24"/>
        </w:rPr>
        <w:t xml:space="preserve">2.1.2. Собственный (регулятивный) капитал является капиталом Первого уровня.</w:t>
      </w:r>
    </w:p>
    <w:p>
      <w:pPr>
        <w:spacing w:after="120"/>
        <w:jc w:val="both"/>
      </w:pPr>
      <w:r>
        <w:rPr>
          <w:rFonts w:ascii="Arial" w:cs="Arial" w:eastAsia="Arial" w:hAnsi="Arial"/>
          <w:sz w:val="24"/>
          <w:szCs w:val="24"/>
        </w:rPr>
        <w:t xml:space="preserve">(В редакции постановления Правления Нацбанка КР от </w:t>
      </w:r>
      <w:hyperlink w:history="1" r:id="rIdqw6mn-sjux8oyi6cuw-nn">
        <w:r>
          <w:rPr>
            <w:rFonts w:ascii="Arial" w:cs="Arial" w:eastAsia="Arial" w:hAnsi="Arial"/>
            <w:color w:val="1D4ED8"/>
            <w:sz w:val="24"/>
            <w:szCs w:val="24"/>
            <w:u w:val="single"/>
          </w:rPr>
          <w:t xml:space="preserve">15 сентября 2021 года № 2021-П-12/51-1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2.2. Коэффициенты достаточности (адекватности) капитала, основанные на взвешивании балансовых активов и забалансовых обязательств по степени риска:</w:t>
      </w:r>
    </w:p>
    <w:p>
      <w:pPr>
        <w:spacing w:after="120"/>
        <w:jc w:val="both"/>
      </w:pPr>
      <w:r>
        <w:rPr>
          <w:rFonts w:ascii="Arial" w:cs="Arial" w:eastAsia="Arial" w:hAnsi="Arial"/>
          <w:sz w:val="24"/>
          <w:szCs w:val="24"/>
        </w:rPr>
        <w:t xml:space="preserve">а) коэффициент достаточности (адекватности) суммарного капитала (К2.1) определяется по формуле: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К2.1 = (ЧСК / (ЧРА + П * Кор)) * 100%, где: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ЧСК - чистый Суммарный капитал, который определяется как сумма капитала Первого уровня и капитала Второго уровня.</w:t>
      </w:r>
    </w:p>
    <w:p>
      <w:pPr>
        <w:spacing w:after="120"/>
        <w:jc w:val="both"/>
      </w:pPr>
      <w:r>
        <w:rPr>
          <w:rFonts w:ascii="Arial" w:cs="Arial" w:eastAsia="Arial" w:hAnsi="Arial"/>
          <w:sz w:val="24"/>
          <w:szCs w:val="24"/>
        </w:rPr>
        <w:t xml:space="preserve">ЧРА - сумма балансовых активов и забалансовых обязательств, взвешенных по степени риска за минусом специальных резервов на покрытие потенциальных потерь и убытков.</w:t>
      </w:r>
    </w:p>
    <w:p>
      <w:pPr>
        <w:spacing w:after="120"/>
        <w:jc w:val="both"/>
      </w:pPr>
      <w:r>
        <w:rPr>
          <w:rFonts w:ascii="Arial" w:cs="Arial" w:eastAsia="Arial" w:hAnsi="Arial"/>
          <w:sz w:val="24"/>
          <w:szCs w:val="24"/>
        </w:rPr>
        <w:t xml:space="preserve">П - установленный показатель (число, обратное коэффициенту адекватности суммарного капитала) для коммерческих банков - 8,33 (100% : 12%), для системно значимых банков - 7,14 (100% : 14%);</w:t>
      </w:r>
    </w:p>
    <w:p>
      <w:pPr>
        <w:spacing w:after="120"/>
        <w:jc w:val="both"/>
      </w:pPr>
      <w:r>
        <w:rPr>
          <w:rFonts w:ascii="Arial" w:cs="Arial" w:eastAsia="Arial" w:hAnsi="Arial"/>
          <w:sz w:val="24"/>
          <w:szCs w:val="24"/>
        </w:rPr>
        <w:t xml:space="preserve">Кор - размер капитала, резервируемого для покрытия операционных рисков. Расчет капитала, резервируемого для покрытия операционных рисков с использованием Базового индикативного метода, осуществляется в соответствии с Порядком определения уровня капитала, необходимого для покрытия операционных рисков банков, утвержденным постановлением Правления Национального банка Кыргызской Республики.</w:t>
      </w:r>
    </w:p>
    <w:p>
      <w:pPr>
        <w:spacing w:after="120"/>
        <w:jc w:val="both"/>
      </w:pPr>
      <w:r>
        <w:rPr>
          <w:rFonts w:ascii="Arial" w:cs="Arial" w:eastAsia="Arial" w:hAnsi="Arial"/>
          <w:sz w:val="24"/>
          <w:szCs w:val="24"/>
        </w:rPr>
        <w:t xml:space="preserve">б) коэффициент достаточности (адекватности) капитала Первого уровня (К2.2) определяется по формуле: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К2.2 = (КПУ / ЧРА) * 100%,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где:</w:t>
      </w:r>
    </w:p>
    <w:p>
      <w:pPr>
        <w:spacing w:after="120"/>
        <w:jc w:val="both"/>
      </w:pPr>
      <w:r>
        <w:rPr>
          <w:rFonts w:ascii="Arial" w:cs="Arial" w:eastAsia="Arial" w:hAnsi="Arial"/>
          <w:sz w:val="24"/>
          <w:szCs w:val="24"/>
        </w:rPr>
        <w:t xml:space="preserve">КПУ - капитал Первого уровня, который определяется согласно пункту 3.6 настоящей Инструкции.</w:t>
      </w:r>
    </w:p>
    <w:p>
      <w:pPr>
        <w:spacing w:after="120"/>
        <w:jc w:val="both"/>
      </w:pPr>
      <w:r>
        <w:rPr>
          <w:rFonts w:ascii="Arial" w:cs="Arial" w:eastAsia="Arial" w:hAnsi="Arial"/>
          <w:sz w:val="24"/>
          <w:szCs w:val="24"/>
        </w:rPr>
        <w:t xml:space="preserve">в) коэффициент достаточности (адекватности) Базового капитала Первого уровня (К2.3) определяется по формуле: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К2.3 = (БКПУ / ЧРА) * 100%,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где:</w:t>
      </w:r>
    </w:p>
    <w:p>
      <w:pPr>
        <w:spacing w:after="120"/>
        <w:jc w:val="both"/>
      </w:pPr>
      <w:r>
        <w:rPr>
          <w:rFonts w:ascii="Arial" w:cs="Arial" w:eastAsia="Arial" w:hAnsi="Arial"/>
          <w:sz w:val="24"/>
          <w:szCs w:val="24"/>
        </w:rPr>
        <w:t xml:space="preserve">БКПУ - Базовый капитал Первого уровня.</w:t>
      </w:r>
    </w:p>
    <w:p>
      <w:pPr>
        <w:spacing w:after="120"/>
        <w:jc w:val="both"/>
      </w:pPr>
      <w:r>
        <w:rPr>
          <w:rFonts w:ascii="Arial" w:cs="Arial" w:eastAsia="Arial" w:hAnsi="Arial"/>
          <w:sz w:val="24"/>
          <w:szCs w:val="24"/>
        </w:rPr>
        <w:t xml:space="preserve">Национальный банк Кыргызской Республики (далее - Национальный банк) на основе оценки рисков и системной значимости банков вправе увеличить минимальный размер коэффициентов адекватности капитала.</w:t>
      </w:r>
    </w:p>
    <w:p>
      <w:pPr>
        <w:spacing w:after="120"/>
        <w:jc w:val="both"/>
      </w:pPr>
      <w:r>
        <w:rPr>
          <w:rFonts w:ascii="Arial" w:cs="Arial" w:eastAsia="Arial" w:hAnsi="Arial"/>
          <w:sz w:val="24"/>
          <w:szCs w:val="24"/>
        </w:rPr>
        <w:t xml:space="preserve">(В редакции постановлений Правления Нацбанка КР от 27 декабря 2019 года № 2019-П-12/68-2. </w:t>
      </w:r>
      <w:hyperlink w:history="1" r:id="rIdkxeayhtoxtplbg4rqtby4">
        <w:r>
          <w:rPr>
            <w:rFonts w:ascii="Arial" w:cs="Arial" w:eastAsia="Arial" w:hAnsi="Arial"/>
            <w:color w:val="1D4ED8"/>
            <w:sz w:val="24"/>
            <w:szCs w:val="24"/>
            <w:u w:val="single"/>
          </w:rPr>
          <w:t xml:space="preserve">15 сентября 2021 года № 2021-П-12/51-1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2.3. Левераж (К2.4) определяется по формуле: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К2.4 = (КПУ / (СА + ЗО) * 100%, где: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СА - суммарные активы банка за минусом нематериальных активов и специальных резервов на покрытие потенциальных потерь и убытков;</w:t>
      </w:r>
    </w:p>
    <w:p>
      <w:pPr>
        <w:spacing w:after="120"/>
        <w:jc w:val="both"/>
      </w:pPr>
      <w:r>
        <w:rPr>
          <w:rFonts w:ascii="Arial" w:cs="Arial" w:eastAsia="Arial" w:hAnsi="Arial"/>
          <w:sz w:val="24"/>
          <w:szCs w:val="24"/>
        </w:rPr>
        <w:t xml:space="preserve">ЗО - забалансовые обязательства с учетом факторов кредитной конверсии, определенных настоящей Инструкцией, а также те обязательства, по которым банк имеет право безусловного отзыва/аннулирования в любое время без предварительного уведомления клиента, и к которым может быть применен фактор кредитной конверсии в размере 10% от общей суммы таких забалансовых обязательств. При этом сумма резервов на покрытие потенциальных потерь и убытков вычитается из забалансовых обязательств (после применения факторов кредитной конверсии) в пределах суммы взвешенных забалансовых обязательств.</w:t>
      </w:r>
    </w:p>
    <w:p>
      <w:pPr>
        <w:spacing w:after="120"/>
        <w:jc w:val="both"/>
      </w:pPr>
      <w:r>
        <w:rPr>
          <w:rFonts w:ascii="Arial" w:cs="Arial" w:eastAsia="Arial" w:hAnsi="Arial"/>
          <w:sz w:val="24"/>
          <w:szCs w:val="24"/>
        </w:rPr>
        <w:t xml:space="preserve">(В редакции постановления Правления Нацбанка КР от </w:t>
      </w:r>
      <w:hyperlink w:history="1" r:id="rIdoxyhibsv7darg3onp5yzp">
        <w:r>
          <w:rPr>
            <w:rFonts w:ascii="Arial" w:cs="Arial" w:eastAsia="Arial" w:hAnsi="Arial"/>
            <w:color w:val="1D4ED8"/>
            <w:sz w:val="24"/>
            <w:szCs w:val="24"/>
            <w:u w:val="single"/>
          </w:rPr>
          <w:t xml:space="preserve">15 сентября 2021 года № 2021-П-12/51-1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2.4. В целях сохранения финансовой устойчивости банка и сохранения стабильности его деятельности устанавливается требование о поддержке "дополнительного запаса капитала банка" (индекс "буфер капитала") для выплаты дивидендов. Индекс "буфер капитала" определяется как отношение чистого Суммарного капитала к сумме балансовых активов и забалансовых обязательств, взвешенных по степени риска за минусом специальных резервов на покрытие потенциальных потерь и убытков. Значение индекса "буфер капитала" банков устанавливается Комитетом по надзору Национального банка.</w:t>
      </w:r>
    </w:p>
    <w:p>
      <w:pPr>
        <w:spacing w:after="120"/>
        <w:jc w:val="both"/>
      </w:pPr>
      <w:r>
        <w:rPr>
          <w:rFonts w:ascii="Arial" w:cs="Arial" w:eastAsia="Arial" w:hAnsi="Arial"/>
          <w:sz w:val="24"/>
          <w:szCs w:val="24"/>
        </w:rPr>
        <w:t xml:space="preserve">(В редакции постановления Правления Нацбанка КР от 27 декабря 2019 года № 2019-П-12/68-2)</w:t>
      </w:r>
    </w:p>
    <w:p>
      <w:pPr>
        <w:spacing w:after="120"/>
        <w:jc w:val="both"/>
      </w:pPr>
      <w:r>
        <w:rPr>
          <w:rFonts w:ascii="Arial" w:cs="Arial" w:eastAsia="Arial" w:hAnsi="Arial"/>
          <w:sz w:val="24"/>
          <w:szCs w:val="24"/>
        </w:rPr>
        <w:t xml:space="preserve">2.5. Банк не имеет право принимать решение о выплате дивидендов в случае, если индекс "буфер капитала", рассчитанный с учетом вычета суммы дивидендов, планируемой к выплате, будет составлять значение ниже установленного Национальным банком.</w:t>
      </w:r>
    </w:p>
    <w:p>
      <w:pPr>
        <w:spacing w:after="120"/>
        <w:jc w:val="both"/>
      </w:pPr>
      <w:r>
        <w:rPr>
          <w:rFonts w:ascii="Arial" w:cs="Arial" w:eastAsia="Arial" w:hAnsi="Arial"/>
          <w:sz w:val="24"/>
          <w:szCs w:val="24"/>
        </w:rPr>
        <w:t xml:space="preserve">После выплаты дивидендов индекс "буфер капитала" должен составлять значение не ниже установленного Национальным банком.</w:t>
      </w:r>
    </w:p>
    <w:p>
      <w:pPr>
        <w:spacing w:after="120"/>
        <w:jc w:val="both"/>
      </w:pPr>
      <w:r>
        <w:rPr>
          <w:rFonts w:ascii="Arial" w:cs="Arial" w:eastAsia="Arial" w:hAnsi="Arial"/>
          <w:sz w:val="24"/>
          <w:szCs w:val="24"/>
        </w:rPr>
        <w:t xml:space="preserve">В случае соблюдения значения индекса "буфер капитала", рассчитанного с учетом вычета суммы дивидендов, планируемой к выплате, банк должен получить разрешение Национального банка на выплату, за исключением случаев, когда за счет нераспределенной прибыли банк увеличивает свой уставной капитал.</w:t>
      </w:r>
    </w:p>
    <w:p>
      <w:pPr>
        <w:spacing w:after="120"/>
        <w:jc w:val="both"/>
      </w:pPr>
      <w:r>
        <w:rPr>
          <w:rFonts w:ascii="Arial" w:cs="Arial" w:eastAsia="Arial" w:hAnsi="Arial"/>
          <w:sz w:val="24"/>
          <w:szCs w:val="24"/>
        </w:rPr>
        <w:t xml:space="preserve">(В редакции постановления Правления Нацбанка КР от </w:t>
      </w:r>
      <w:hyperlink w:history="1" r:id="rIdra4bu4ky2d5c7aqboqae-">
        <w:r>
          <w:rPr>
            <w:rFonts w:ascii="Arial" w:cs="Arial" w:eastAsia="Arial" w:hAnsi="Arial"/>
            <w:color w:val="1D4ED8"/>
            <w:sz w:val="24"/>
            <w:szCs w:val="24"/>
            <w:u w:val="single"/>
          </w:rPr>
          <w:t xml:space="preserve">15 августа 2018 года № 2018-П-12/33-6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2.6. (Утратил силу в соответствии с </w:t>
      </w:r>
      <w:hyperlink w:history="1" r:id="rIde4sjqynsvywiy9upyfrsr">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Нацбанка КР от 15 августа 2018 года № 2018-П-12/33-6)</w:t>
      </w:r>
    </w:p>
    <w:p>
      <w:pPr>
        <w:spacing w:after="120"/>
        <w:jc w:val="both"/>
      </w:pPr>
      <w:r>
        <w:rPr>
          <w:rFonts w:ascii="Arial" w:cs="Arial" w:eastAsia="Arial" w:hAnsi="Arial"/>
          <w:sz w:val="24"/>
          <w:szCs w:val="24"/>
        </w:rPr>
        <w:t xml:space="preserve">3. Структура капитала</w:t>
      </w:r>
    </w:p>
    <w:p>
      <w:pPr>
        <w:spacing w:after="120"/>
        <w:jc w:val="both"/>
      </w:pPr>
      <w:r>
        <w:rPr>
          <w:rFonts w:ascii="Arial" w:cs="Arial" w:eastAsia="Arial" w:hAnsi="Arial"/>
          <w:sz w:val="24"/>
          <w:szCs w:val="24"/>
        </w:rPr>
        <w:t xml:space="preserve">(Глава
  в редакции постановления Правления Нацбанка КР от 28 июня 2019 года № 2019-П-12/34-3)</w:t>
      </w:r>
    </w:p>
    <w:p>
      <w:pPr>
        <w:spacing w:after="120"/>
        <w:jc w:val="both"/>
      </w:pPr>
      <w:r>
        <w:rPr>
          <w:rFonts w:ascii="Arial" w:cs="Arial" w:eastAsia="Arial" w:hAnsi="Arial"/>
          <w:sz w:val="24"/>
          <w:szCs w:val="24"/>
        </w:rPr>
        <w:t xml:space="preserve">3.1. Основу капитала составляет полностью оплаченный уставный капитал банка. Согласно стандартам Базельского комитета по банковскому надзору, уставный капитал - это "ключевой элемент капитала, общий для банковских систем во всех странах; он совершенно четко виден в публикуемой банками отчетности и является базой, на которой основывается рыночная оценка адекватности капитала; он имеет решающее значение для определения показателей прибыльности и конкурентоспособности банка".</w:t>
      </w:r>
    </w:p>
    <w:p>
      <w:pPr>
        <w:spacing w:after="120"/>
        <w:jc w:val="both"/>
      </w:pPr>
      <w:r>
        <w:rPr>
          <w:rFonts w:ascii="Arial" w:cs="Arial" w:eastAsia="Arial" w:hAnsi="Arial"/>
          <w:sz w:val="24"/>
          <w:szCs w:val="24"/>
        </w:rPr>
        <w:t xml:space="preserve">(В редакции постановления Правления Нацбанка КР от 28 июня 2019 года № 2019-П-12/34-3)</w:t>
      </w:r>
    </w:p>
    <w:p>
      <w:pPr>
        <w:spacing w:after="120"/>
        <w:jc w:val="both"/>
      </w:pPr>
      <w:r>
        <w:rPr>
          <w:rFonts w:ascii="Arial" w:cs="Arial" w:eastAsia="Arial" w:hAnsi="Arial"/>
          <w:sz w:val="24"/>
          <w:szCs w:val="24"/>
        </w:rPr>
        <w:t xml:space="preserve">3.2. В состав капитала входит только такой уставный капитал (простые и привилегированные акции), по которому нет обязательств по возврату средств, вложенных акционерами банка. Эти средства могут быть получены акционерами только путем передачи или продажи акций третьим лицам.</w:t>
      </w:r>
    </w:p>
    <w:p>
      <w:pPr>
        <w:spacing w:after="120"/>
        <w:jc w:val="both"/>
      </w:pPr>
      <w:r>
        <w:rPr>
          <w:rFonts w:ascii="Arial" w:cs="Arial" w:eastAsia="Arial" w:hAnsi="Arial"/>
          <w:sz w:val="24"/>
          <w:szCs w:val="24"/>
        </w:rPr>
        <w:t xml:space="preserve">(В редакции постановления Правления Нацбанка КР от 28 июня 2019 года № 2019-П-12/34-3)</w:t>
      </w:r>
    </w:p>
    <w:p>
      <w:pPr>
        <w:spacing w:after="120"/>
        <w:jc w:val="both"/>
      </w:pPr>
      <w:r>
        <w:rPr>
          <w:rFonts w:ascii="Arial" w:cs="Arial" w:eastAsia="Arial" w:hAnsi="Arial"/>
          <w:sz w:val="24"/>
          <w:szCs w:val="24"/>
        </w:rPr>
        <w:t xml:space="preserve">3.3. Банк не имеет право принимать в залог собственные акции.</w:t>
      </w:r>
    </w:p>
    <w:p>
      <w:pPr>
        <w:spacing w:after="120"/>
        <w:jc w:val="both"/>
      </w:pPr>
      <w:r>
        <w:rPr>
          <w:rFonts w:ascii="Arial" w:cs="Arial" w:eastAsia="Arial" w:hAnsi="Arial"/>
          <w:sz w:val="24"/>
          <w:szCs w:val="24"/>
        </w:rPr>
        <w:t xml:space="preserve">(В редакции постановления Правления Нацбанка КР от 28 июня 2019 года № 2019-П-12/34-3)</w:t>
      </w:r>
    </w:p>
    <w:p>
      <w:pPr>
        <w:spacing w:after="120"/>
        <w:jc w:val="both"/>
      </w:pPr>
      <w:r>
        <w:rPr>
          <w:rFonts w:ascii="Arial" w:cs="Arial" w:eastAsia="Arial" w:hAnsi="Arial"/>
          <w:sz w:val="24"/>
          <w:szCs w:val="24"/>
        </w:rPr>
        <w:t xml:space="preserve">3.4. Для целей банковского надзора отличительным признаком составляющих капитала является его способность покрывать убытки, которые могут возникнуть в процессе деятельности банка. По этой причине при оценке адекватности капитала в состав капитала включаются некоторые "некапитальные" бухгалтерские счета (например, "Общий резерв на покрытие потенциальных потерь и убытков" или "Субординированные облигации и другие долговые обязательства").</w:t>
      </w:r>
    </w:p>
    <w:p>
      <w:pPr>
        <w:spacing w:after="120"/>
        <w:jc w:val="both"/>
      </w:pPr>
      <w:r>
        <w:rPr>
          <w:rFonts w:ascii="Arial" w:cs="Arial" w:eastAsia="Arial" w:hAnsi="Arial"/>
          <w:sz w:val="24"/>
          <w:szCs w:val="24"/>
        </w:rPr>
        <w:t xml:space="preserve">(В редакции постановления Правления Нацбанка КР от 28 июня 2019 года № 2019-П-12/34-3)</w:t>
      </w:r>
    </w:p>
    <w:p>
      <w:pPr>
        <w:spacing w:after="120"/>
        <w:jc w:val="both"/>
      </w:pPr>
      <w:r>
        <w:rPr>
          <w:rFonts w:ascii="Arial" w:cs="Arial" w:eastAsia="Arial" w:hAnsi="Arial"/>
          <w:sz w:val="24"/>
          <w:szCs w:val="24"/>
        </w:rPr>
        <w:t xml:space="preserve">3.5. Для целей расчета коэффициентов достаточности (адекватности) капитала банковский капитал делится на капитал Первого уровня и капитал Второго уровня.</w:t>
      </w:r>
    </w:p>
    <w:p>
      <w:pPr>
        <w:spacing w:after="120"/>
        <w:jc w:val="both"/>
      </w:pPr>
      <w:r>
        <w:rPr>
          <w:rFonts w:ascii="Arial" w:cs="Arial" w:eastAsia="Arial" w:hAnsi="Arial"/>
          <w:sz w:val="24"/>
          <w:szCs w:val="24"/>
        </w:rPr>
        <w:t xml:space="preserve">(В редакции постановления Правления Нацбанка КР от 28 июня 2019 года № 2019-П-12/34-3)</w:t>
      </w:r>
    </w:p>
    <w:p>
      <w:pPr>
        <w:spacing w:after="120"/>
        <w:jc w:val="both"/>
      </w:pPr>
      <w:r>
        <w:rPr>
          <w:rFonts w:ascii="Arial" w:cs="Arial" w:eastAsia="Arial" w:hAnsi="Arial"/>
          <w:sz w:val="24"/>
          <w:szCs w:val="24"/>
        </w:rPr>
        <w:t xml:space="preserve">3.6. Капитал Первого уровня необходим для обеспечения поглощения убытков в ходе текущей деятельности банка.</w:t>
      </w:r>
    </w:p>
    <w:p>
      <w:pPr>
        <w:spacing w:after="120"/>
        <w:jc w:val="both"/>
      </w:pPr>
      <w:r>
        <w:rPr>
          <w:rFonts w:ascii="Arial" w:cs="Arial" w:eastAsia="Arial" w:hAnsi="Arial"/>
          <w:sz w:val="24"/>
          <w:szCs w:val="24"/>
        </w:rPr>
        <w:t xml:space="preserve">Капитал Первого уровня состоит из следующих элементов:</w:t>
      </w:r>
    </w:p>
    <w:p>
      <w:pPr>
        <w:spacing w:after="120"/>
        <w:jc w:val="both"/>
      </w:pPr>
      <w:r>
        <w:rPr>
          <w:rFonts w:ascii="Arial" w:cs="Arial" w:eastAsia="Arial" w:hAnsi="Arial"/>
          <w:sz w:val="24"/>
          <w:szCs w:val="24"/>
        </w:rPr>
        <w:t xml:space="preserve">- Базовый капитал Первого уровня;</w:t>
      </w:r>
    </w:p>
    <w:p>
      <w:pPr>
        <w:spacing w:after="120"/>
        <w:jc w:val="both"/>
      </w:pPr>
      <w:r>
        <w:rPr>
          <w:rFonts w:ascii="Arial" w:cs="Arial" w:eastAsia="Arial" w:hAnsi="Arial"/>
          <w:sz w:val="24"/>
          <w:szCs w:val="24"/>
        </w:rPr>
        <w:t xml:space="preserve">- Дополнительный капитал Первого уровня.</w:t>
      </w:r>
    </w:p>
    <w:p>
      <w:pPr>
        <w:spacing w:after="120"/>
        <w:jc w:val="both"/>
      </w:pPr>
      <w:r>
        <w:rPr>
          <w:rFonts w:ascii="Arial" w:cs="Arial" w:eastAsia="Arial" w:hAnsi="Arial"/>
          <w:sz w:val="24"/>
          <w:szCs w:val="24"/>
        </w:rPr>
        <w:t xml:space="preserve">(В редакции постановления Правления Нацбанка КР от 28 июня 2019 года № 2019-П-12/34-3)</w:t>
      </w:r>
    </w:p>
    <w:p>
      <w:pPr>
        <w:spacing w:after="120"/>
        <w:jc w:val="both"/>
      </w:pPr>
      <w:r>
        <w:rPr>
          <w:rFonts w:ascii="Arial" w:cs="Arial" w:eastAsia="Arial" w:hAnsi="Arial"/>
          <w:sz w:val="24"/>
          <w:szCs w:val="24"/>
        </w:rPr>
        <w:t xml:space="preserve">3.7. Структуру Базового капитала Первого уровня составляют следующие элементы:</w:t>
      </w:r>
    </w:p>
    <w:p>
      <w:pPr>
        <w:spacing w:after="120"/>
        <w:jc w:val="both"/>
      </w:pPr>
      <w:r>
        <w:rPr>
          <w:rFonts w:ascii="Arial" w:cs="Arial" w:eastAsia="Arial" w:hAnsi="Arial"/>
          <w:sz w:val="24"/>
          <w:szCs w:val="24"/>
        </w:rPr>
        <w:t xml:space="preserve">1) "простые акции" - выпущенные и полностью оплаченные простые акции банка, удовлетворяющие условиям, установленным законодательством;</w:t>
      </w:r>
    </w:p>
    <w:p>
      <w:pPr>
        <w:spacing w:after="120"/>
        <w:jc w:val="both"/>
      </w:pPr>
      <w:r>
        <w:rPr>
          <w:rFonts w:ascii="Arial" w:cs="Arial" w:eastAsia="Arial" w:hAnsi="Arial"/>
          <w:sz w:val="24"/>
          <w:szCs w:val="24"/>
        </w:rPr>
        <w:t xml:space="preserve">2) "привилегированные некумулятивные акции" - выпущенные и полностью оплаченные привилегированные акции банка, удовлетворяющие условиям, установленным законодательством, и не требующие от банка распределения дивидендов.</w:t>
      </w:r>
    </w:p>
    <w:p>
      <w:pPr>
        <w:spacing w:after="120"/>
        <w:jc w:val="both"/>
      </w:pPr>
      <w:r>
        <w:rPr>
          <w:rFonts w:ascii="Arial" w:cs="Arial" w:eastAsia="Arial" w:hAnsi="Arial"/>
          <w:sz w:val="24"/>
          <w:szCs w:val="24"/>
        </w:rPr>
        <w:t xml:space="preserve">При наличии обстоятельств/условий, когда распределение дивидендов является обязательным, такие привилегированные акции и капитал, внесенный сверх номинала по данным акциям, должны учитываться в Дополнительном капитале Первого уровня либо в капитале Второго уровня;</w:t>
      </w:r>
    </w:p>
    <w:p>
      <w:pPr>
        <w:spacing w:after="120"/>
        <w:jc w:val="both"/>
      </w:pPr>
      <w:r>
        <w:rPr>
          <w:rFonts w:ascii="Arial" w:cs="Arial" w:eastAsia="Arial" w:hAnsi="Arial"/>
          <w:sz w:val="24"/>
          <w:szCs w:val="24"/>
        </w:rPr>
        <w:t xml:space="preserve">3) "капитал, внесенный сверх номинала" - разница между ценой продажи простых и привилегированных акций, включенных в Базовый капитал первого уровня, и их номинальной стоимостью по результатам эмиссии.</w:t>
      </w:r>
    </w:p>
    <w:p>
      <w:pPr>
        <w:spacing w:after="120"/>
        <w:jc w:val="both"/>
      </w:pPr>
      <w:r>
        <w:rPr>
          <w:rFonts w:ascii="Arial" w:cs="Arial" w:eastAsia="Arial" w:hAnsi="Arial"/>
          <w:sz w:val="24"/>
          <w:szCs w:val="24"/>
        </w:rPr>
        <w:t xml:space="preserve">Капитал, внесенный сверх номинала, не подлежит распределению акционерам в виде дивидендов и остается в банке.</w:t>
      </w:r>
    </w:p>
    <w:p>
      <w:pPr>
        <w:spacing w:after="120"/>
        <w:jc w:val="both"/>
      </w:pPr>
      <w:r>
        <w:rPr>
          <w:rFonts w:ascii="Arial" w:cs="Arial" w:eastAsia="Arial" w:hAnsi="Arial"/>
          <w:sz w:val="24"/>
          <w:szCs w:val="24"/>
        </w:rPr>
        <w:t xml:space="preserve">По письменному согласию Национального банка капитал, внесенный сверх номинала, может быть использован на увеличение уставного капитала только в целях соблюдения требования по минимальному размеру уставного капитала;</w:t>
      </w:r>
    </w:p>
    <w:p>
      <w:pPr>
        <w:spacing w:after="120"/>
        <w:jc w:val="both"/>
      </w:pPr>
      <w:r>
        <w:rPr>
          <w:rFonts w:ascii="Arial" w:cs="Arial" w:eastAsia="Arial" w:hAnsi="Arial"/>
          <w:sz w:val="24"/>
          <w:szCs w:val="24"/>
        </w:rPr>
        <w:t xml:space="preserve">4) "резервы для будущих потребностей банка" - резервы, созданные из прибыли после налогообложения на будущие и/или непредвиденные события;</w:t>
      </w:r>
    </w:p>
    <w:p>
      <w:pPr>
        <w:spacing w:after="120"/>
        <w:jc w:val="both"/>
      </w:pPr>
      <w:r>
        <w:rPr>
          <w:rFonts w:ascii="Arial" w:cs="Arial" w:eastAsia="Arial" w:hAnsi="Arial"/>
          <w:sz w:val="24"/>
          <w:szCs w:val="24"/>
        </w:rPr>
        <w:t xml:space="preserve">5) "нераспределенная прибыль (убытки) прошлых лет" - остаток чистой прибыли (убытков) после налогообложения прошлых лет после вычета объявленных дивидендов и распределения на другие капитальные счета.</w:t>
      </w:r>
    </w:p>
    <w:p>
      <w:pPr>
        <w:spacing w:after="120"/>
        <w:jc w:val="both"/>
      </w:pPr>
      <w:r>
        <w:rPr>
          <w:rFonts w:ascii="Arial" w:cs="Arial" w:eastAsia="Arial" w:hAnsi="Arial"/>
          <w:sz w:val="24"/>
          <w:szCs w:val="24"/>
        </w:rPr>
        <w:t xml:space="preserve">(В редакции постановления Правления Нацбанка КР от 28 июня 2019 года № 2019-П-12/34-3)</w:t>
      </w:r>
    </w:p>
    <w:p>
      <w:pPr>
        <w:spacing w:after="120"/>
        <w:jc w:val="both"/>
      </w:pPr>
      <w:r>
        <w:rPr>
          <w:rFonts w:ascii="Arial" w:cs="Arial" w:eastAsia="Arial" w:hAnsi="Arial"/>
          <w:sz w:val="24"/>
          <w:szCs w:val="24"/>
        </w:rPr>
        <w:t xml:space="preserve">3.8. В структуру Дополнительного капитала Первого уровня входят следующие элементы:</w:t>
      </w:r>
    </w:p>
    <w:p>
      <w:pPr>
        <w:spacing w:after="120"/>
        <w:jc w:val="both"/>
      </w:pPr>
      <w:r>
        <w:rPr>
          <w:rFonts w:ascii="Arial" w:cs="Arial" w:eastAsia="Arial" w:hAnsi="Arial"/>
          <w:sz w:val="24"/>
          <w:szCs w:val="24"/>
        </w:rPr>
        <w:t xml:space="preserve">1) "дополнительный капитал, внесенный физическими и юридическими лицами" - средства, вносимые физическими и юридическими лицами сверх оплаченного уставного капитала. Необходимость внесения данных средств возникает в случае невыполнения банком требований Национального банка по минимальному размеру собственного (регулятивного) капитала (капитала Первого уровня) и/или экономических нормативов, и/или при наличии риска их неисполнения, в том числе по требованию Национального банка, и/или необходимости увеличения уставного капитала к сроку, определенному Национальным банком. Данные средства зачисляются только при наличии у банка договора с физическими и юридическими лицами о внесении средств в счет приобретения ими акций банка с условием безотзывности (ни при каких обстоятельствах), бессрочности вносимых средств, а также с условием, что в случае банкротства банка требования по данным средствам будут удовлетворяться в той же очереди, что и требования акционеров банка. Размер дополнительного капитала должен быть достаточным для того, чтобы банк выполнял минимальные значения по данным требованиям и нормативам. В последующем дополнительно внесенные физическими и юридическими лицами средства должны быть преобразованы в простые и/или привилегированные акции, а сами эти лица должны быть наделены бесспорным правом на приобретение выпускаемых акций на сумму этих предоставленных средств;</w:t>
      </w:r>
    </w:p>
    <w:p>
      <w:pPr>
        <w:spacing w:after="120"/>
        <w:jc w:val="both"/>
      </w:pPr>
      <w:r>
        <w:rPr>
          <w:rFonts w:ascii="Arial" w:cs="Arial" w:eastAsia="Arial" w:hAnsi="Arial"/>
          <w:sz w:val="24"/>
          <w:szCs w:val="24"/>
        </w:rPr>
        <w:t xml:space="preserve">2) "привилегированные акции, которые соответствуют критериям Дополнительного капитала Первого уровня, но не приемлемые для Базового капитала Первого уровня". Привилегированные акции в данной статье указываются с учетом суммы, внесенной выше их номинальной стоимости;</w:t>
      </w:r>
    </w:p>
    <w:p>
      <w:pPr>
        <w:spacing w:after="120"/>
        <w:jc w:val="both"/>
      </w:pPr>
      <w:r>
        <w:rPr>
          <w:rFonts w:ascii="Arial" w:cs="Arial" w:eastAsia="Arial" w:hAnsi="Arial"/>
          <w:sz w:val="24"/>
          <w:szCs w:val="24"/>
        </w:rPr>
        <w:t xml:space="preserve">3) "другие инструменты капитала" - инструменты, обладающие признаками как капитала, так и долгового обязательства, к которому относится бессрочный субординированный долг.</w:t>
      </w:r>
    </w:p>
    <w:p>
      <w:pPr>
        <w:spacing w:after="120"/>
        <w:jc w:val="both"/>
      </w:pPr>
      <w:r>
        <w:rPr>
          <w:rFonts w:ascii="Arial" w:cs="Arial" w:eastAsia="Arial" w:hAnsi="Arial"/>
          <w:sz w:val="24"/>
          <w:szCs w:val="24"/>
        </w:rPr>
        <w:t xml:space="preserve">Под субординированным долгом понимается необеспеченное залогом обязательство, которое не должно погашаться досрочно по требованию кредиторов и требования по которому в случае ликвидации банка погашаются в последнюю очередь после удовлетворения всех требований со стороны кредиторов и вкладчиков, но до расчетов с акционерами банка.</w:t>
      </w:r>
    </w:p>
    <w:p>
      <w:pPr>
        <w:spacing w:after="120"/>
        <w:jc w:val="both"/>
      </w:pPr>
      <w:r>
        <w:rPr>
          <w:rFonts w:ascii="Arial" w:cs="Arial" w:eastAsia="Arial" w:hAnsi="Arial"/>
          <w:sz w:val="24"/>
          <w:szCs w:val="24"/>
        </w:rPr>
        <w:t xml:space="preserve">Инструменты Дополнительного капитала Первого уровня, эмитированные банком, должны соответствовать установленным для них критериям.</w:t>
      </w:r>
    </w:p>
    <w:p>
      <w:pPr>
        <w:spacing w:after="120"/>
        <w:jc w:val="both"/>
      </w:pPr>
      <w:r>
        <w:rPr>
          <w:rFonts w:ascii="Arial" w:cs="Arial" w:eastAsia="Arial" w:hAnsi="Arial"/>
          <w:sz w:val="24"/>
          <w:szCs w:val="24"/>
        </w:rPr>
        <w:t xml:space="preserve">(В редакции постановления Правления Нацбанка КР от 23 декабря 2020 года № 2020-П-12/73-10)</w:t>
      </w:r>
    </w:p>
    <w:p>
      <w:pPr>
        <w:spacing w:after="120"/>
        <w:jc w:val="both"/>
      </w:pPr>
      <w:r>
        <w:rPr>
          <w:rFonts w:ascii="Arial" w:cs="Arial" w:eastAsia="Arial" w:hAnsi="Arial"/>
          <w:sz w:val="24"/>
          <w:szCs w:val="24"/>
        </w:rPr>
        <w:t xml:space="preserve">3.8-1. Дополнительный капитал Первого уровня должен соответствовать следующим критериям по элементам капитала:</w:t>
      </w:r>
    </w:p>
    <w:p>
      <w:pPr>
        <w:spacing w:after="120"/>
        <w:jc w:val="both"/>
      </w:pPr>
      <w:r>
        <w:rPr>
          <w:rFonts w:ascii="Arial" w:cs="Arial" w:eastAsia="Arial" w:hAnsi="Arial"/>
          <w:sz w:val="24"/>
          <w:szCs w:val="24"/>
        </w:rPr>
        <w:t xml:space="preserve">1) должны быть выпущенными и оплаченными;</w:t>
      </w:r>
    </w:p>
    <w:p>
      <w:pPr>
        <w:spacing w:after="120"/>
        <w:jc w:val="both"/>
      </w:pPr>
      <w:r>
        <w:rPr>
          <w:rFonts w:ascii="Arial" w:cs="Arial" w:eastAsia="Arial" w:hAnsi="Arial"/>
          <w:sz w:val="24"/>
          <w:szCs w:val="24"/>
        </w:rPr>
        <w:t xml:space="preserve">2) должны быть субординированными, то есть требования по данным инструментам подлежат удовлетворению в последнюю очередь после удовлетворения всех претензий со стороны вкладчиков, основных кредиторов и субординированного долга банка;</w:t>
      </w:r>
    </w:p>
    <w:p>
      <w:pPr>
        <w:spacing w:after="120"/>
        <w:jc w:val="both"/>
      </w:pPr>
      <w:r>
        <w:rPr>
          <w:rFonts w:ascii="Arial" w:cs="Arial" w:eastAsia="Arial" w:hAnsi="Arial"/>
          <w:sz w:val="24"/>
          <w:szCs w:val="24"/>
        </w:rPr>
        <w:t xml:space="preserve">3) инструмент не должен быть обеспечением или гарантией по обязательствам банка/связанных лиц банка, а также не должен подпадать под какие-либо требования/условия, которые могут обязать банк в правовом или экономическом отношении к первоочередному удовлетворению требования;</w:t>
      </w:r>
    </w:p>
    <w:p>
      <w:pPr>
        <w:spacing w:after="120"/>
        <w:jc w:val="both"/>
      </w:pPr>
      <w:r>
        <w:rPr>
          <w:rFonts w:ascii="Arial" w:cs="Arial" w:eastAsia="Arial" w:hAnsi="Arial"/>
          <w:sz w:val="24"/>
          <w:szCs w:val="24"/>
        </w:rPr>
        <w:t xml:space="preserve">4) должны быть бессрочными, т.е. не иметь сроков погашения;</w:t>
      </w:r>
    </w:p>
    <w:p>
      <w:pPr>
        <w:spacing w:after="120"/>
        <w:jc w:val="both"/>
      </w:pPr>
      <w:r>
        <w:rPr>
          <w:rFonts w:ascii="Arial" w:cs="Arial" w:eastAsia="Arial" w:hAnsi="Arial"/>
          <w:sz w:val="24"/>
          <w:szCs w:val="24"/>
        </w:rPr>
        <w:t xml:space="preserve">5) могут быть выкуплены эмитентом или погашены по его инициативе только после минимального срока, составляющего не менее пяти лет. При этом:</w:t>
      </w:r>
    </w:p>
    <w:p>
      <w:pPr>
        <w:spacing w:after="120"/>
        <w:jc w:val="both"/>
      </w:pPr>
      <w:r>
        <w:rPr>
          <w:rFonts w:ascii="Arial" w:cs="Arial" w:eastAsia="Arial" w:hAnsi="Arial"/>
          <w:sz w:val="24"/>
          <w:szCs w:val="24"/>
        </w:rPr>
        <w:t xml:space="preserve">а) банк не должен предпринимать каких-либо действий при выпуске инструмента, ожидая, что данный инструмент будет выкуплен обратно;</w:t>
      </w:r>
    </w:p>
    <w:p>
      <w:pPr>
        <w:spacing w:after="120"/>
        <w:jc w:val="both"/>
      </w:pPr>
      <w:r>
        <w:rPr>
          <w:rFonts w:ascii="Arial" w:cs="Arial" w:eastAsia="Arial" w:hAnsi="Arial"/>
          <w:sz w:val="24"/>
          <w:szCs w:val="24"/>
        </w:rPr>
        <w:t xml:space="preserve">б) выкуп/погашение допускается только в случае:</w:t>
      </w:r>
    </w:p>
    <w:p>
      <w:pPr>
        <w:spacing w:after="120"/>
        <w:jc w:val="both"/>
      </w:pPr>
      <w:r>
        <w:rPr>
          <w:rFonts w:ascii="Arial" w:cs="Arial" w:eastAsia="Arial" w:hAnsi="Arial"/>
          <w:sz w:val="24"/>
          <w:szCs w:val="24"/>
        </w:rPr>
        <w:t xml:space="preserve">- замены инструмента инструментом такого же рода или наиболее высокого качества, если замена указанного инструмента производится на условиях, являющихся надежными для капитала банка;</w:t>
      </w:r>
    </w:p>
    <w:p>
      <w:pPr>
        <w:spacing w:after="120"/>
        <w:jc w:val="both"/>
      </w:pPr>
      <w:r>
        <w:rPr>
          <w:rFonts w:ascii="Arial" w:cs="Arial" w:eastAsia="Arial" w:hAnsi="Arial"/>
          <w:sz w:val="24"/>
          <w:szCs w:val="24"/>
        </w:rPr>
        <w:t xml:space="preserve">- минимальные требования Национального банка по капиталу не нарушаются;</w:t>
      </w:r>
    </w:p>
    <w:p>
      <w:pPr>
        <w:spacing w:after="120"/>
        <w:jc w:val="both"/>
      </w:pPr>
      <w:r>
        <w:rPr>
          <w:rFonts w:ascii="Arial" w:cs="Arial" w:eastAsia="Arial" w:hAnsi="Arial"/>
          <w:sz w:val="24"/>
          <w:szCs w:val="24"/>
        </w:rPr>
        <w:t xml:space="preserve">- получения предварительного разрешения Национального банка;</w:t>
      </w:r>
    </w:p>
    <w:p>
      <w:pPr>
        <w:spacing w:after="120"/>
        <w:jc w:val="both"/>
      </w:pPr>
      <w:r>
        <w:rPr>
          <w:rFonts w:ascii="Arial" w:cs="Arial" w:eastAsia="Arial" w:hAnsi="Arial"/>
          <w:sz w:val="24"/>
          <w:szCs w:val="24"/>
        </w:rPr>
        <w:t xml:space="preserve">6) любая выплата основной суммы (например, путем выкупа или выплаты) должна осуществляться с предварительного согласия Национального банка, и банки не должны предполагать или создавать ожидания, что будет получено согласие Национального банка;</w:t>
      </w:r>
    </w:p>
    <w:p>
      <w:pPr>
        <w:spacing w:after="120"/>
        <w:jc w:val="both"/>
      </w:pPr>
      <w:r>
        <w:rPr>
          <w:rFonts w:ascii="Arial" w:cs="Arial" w:eastAsia="Arial" w:hAnsi="Arial"/>
          <w:sz w:val="24"/>
          <w:szCs w:val="24"/>
        </w:rPr>
        <w:t xml:space="preserve">7) право выбора в отношении дивидендов/выплаты процентов:</w:t>
      </w:r>
    </w:p>
    <w:p>
      <w:pPr>
        <w:spacing w:after="120"/>
        <w:jc w:val="both"/>
      </w:pPr>
      <w:r>
        <w:rPr>
          <w:rFonts w:ascii="Arial" w:cs="Arial" w:eastAsia="Arial" w:hAnsi="Arial"/>
          <w:sz w:val="24"/>
          <w:szCs w:val="24"/>
        </w:rPr>
        <w:t xml:space="preserve">а) банк должен при любых обстоятельствах обладать полным правом по отмене выплаты дивидендов/платежей;</w:t>
      </w:r>
    </w:p>
    <w:p>
      <w:pPr>
        <w:spacing w:after="120"/>
        <w:jc w:val="both"/>
      </w:pPr>
      <w:r>
        <w:rPr>
          <w:rFonts w:ascii="Arial" w:cs="Arial" w:eastAsia="Arial" w:hAnsi="Arial"/>
          <w:sz w:val="24"/>
          <w:szCs w:val="24"/>
        </w:rPr>
        <w:t xml:space="preserve">б) принятие решения об отмене выплаты дивидендов и платежей не должно рассматриваться в качестве случая невыполнения обязательств или неплатежеспособности банка;</w:t>
      </w:r>
    </w:p>
    <w:p>
      <w:pPr>
        <w:spacing w:after="120"/>
        <w:jc w:val="both"/>
      </w:pPr>
      <w:r>
        <w:rPr>
          <w:rFonts w:ascii="Arial" w:cs="Arial" w:eastAsia="Arial" w:hAnsi="Arial"/>
          <w:sz w:val="24"/>
          <w:szCs w:val="24"/>
        </w:rPr>
        <w:t xml:space="preserve">в) возможность исполнения иных обязательств по мере наступления сроков их исполнения за счет невыплаченных дивидендов;</w:t>
      </w:r>
    </w:p>
    <w:p>
      <w:pPr>
        <w:spacing w:after="120"/>
        <w:jc w:val="both"/>
      </w:pPr>
      <w:r>
        <w:rPr>
          <w:rFonts w:ascii="Arial" w:cs="Arial" w:eastAsia="Arial" w:hAnsi="Arial"/>
          <w:sz w:val="24"/>
          <w:szCs w:val="24"/>
        </w:rPr>
        <w:t xml:space="preserve">г) отмена выплаты дивидендов/платежей не должна налагать ограничения на банк. При этом также могут быть установлены ограничения по выплате дивидендов по простым акциям;</w:t>
      </w:r>
    </w:p>
    <w:p>
      <w:pPr>
        <w:spacing w:after="120"/>
        <w:jc w:val="both"/>
      </w:pPr>
      <w:r>
        <w:rPr>
          <w:rFonts w:ascii="Arial" w:cs="Arial" w:eastAsia="Arial" w:hAnsi="Arial"/>
          <w:sz w:val="24"/>
          <w:szCs w:val="24"/>
        </w:rPr>
        <w:t xml:space="preserve">8) инструмент не может быть включен в обязательства в части, превышающей активы, в случае, если такое превышение является признаком неплатежеспособности согласно законодательству;</w:t>
      </w:r>
    </w:p>
    <w:p>
      <w:pPr>
        <w:spacing w:after="120"/>
        <w:jc w:val="both"/>
      </w:pPr>
      <w:r>
        <w:rPr>
          <w:rFonts w:ascii="Arial" w:cs="Arial" w:eastAsia="Arial" w:hAnsi="Arial"/>
          <w:sz w:val="24"/>
          <w:szCs w:val="24"/>
        </w:rPr>
        <w:t xml:space="preserve">9) если коэффициент Базового капитала Первого уровня банка снизится до 5,125%, банк должен иметь право на конвертацию этих инструментов в простые акции или списание этих инструментов путем распределения убытков по ним.</w:t>
      </w:r>
    </w:p>
    <w:p>
      <w:pPr>
        <w:spacing w:after="120"/>
        <w:jc w:val="both"/>
      </w:pPr>
      <w:r>
        <w:rPr>
          <w:rFonts w:ascii="Arial" w:cs="Arial" w:eastAsia="Arial" w:hAnsi="Arial"/>
          <w:sz w:val="24"/>
          <w:szCs w:val="24"/>
        </w:rPr>
        <w:t xml:space="preserve">При этом списание должно привести к следующим результатам:</w:t>
      </w:r>
    </w:p>
    <w:p>
      <w:pPr>
        <w:spacing w:after="120"/>
        <w:jc w:val="both"/>
      </w:pPr>
      <w:r>
        <w:rPr>
          <w:rFonts w:ascii="Arial" w:cs="Arial" w:eastAsia="Arial" w:hAnsi="Arial"/>
          <w:sz w:val="24"/>
          <w:szCs w:val="24"/>
        </w:rPr>
        <w:t xml:space="preserve">а) снижению требований по инструменту при ликвидации банка;</w:t>
      </w:r>
    </w:p>
    <w:p>
      <w:pPr>
        <w:spacing w:after="120"/>
        <w:jc w:val="both"/>
      </w:pPr>
      <w:r>
        <w:rPr>
          <w:rFonts w:ascii="Arial" w:cs="Arial" w:eastAsia="Arial" w:hAnsi="Arial"/>
          <w:sz w:val="24"/>
          <w:szCs w:val="24"/>
        </w:rPr>
        <w:t xml:space="preserve">б) снижению суммы, выплачиваемой при выкупе инструмента;</w:t>
      </w:r>
    </w:p>
    <w:p>
      <w:pPr>
        <w:spacing w:after="120"/>
        <w:jc w:val="both"/>
      </w:pPr>
      <w:r>
        <w:rPr>
          <w:rFonts w:ascii="Arial" w:cs="Arial" w:eastAsia="Arial" w:hAnsi="Arial"/>
          <w:sz w:val="24"/>
          <w:szCs w:val="24"/>
        </w:rPr>
        <w:t xml:space="preserve">в) частичному или полному сокращению суммы выплат по процентам/дивидендам;</w:t>
      </w:r>
    </w:p>
    <w:p>
      <w:pPr>
        <w:spacing w:after="120"/>
        <w:jc w:val="both"/>
      </w:pPr>
      <w:r>
        <w:rPr>
          <w:rFonts w:ascii="Arial" w:cs="Arial" w:eastAsia="Arial" w:hAnsi="Arial"/>
          <w:sz w:val="24"/>
          <w:szCs w:val="24"/>
        </w:rPr>
        <w:t xml:space="preserve">10) ни банк, ни связанное лицо, над которым банк осуществляет контроль или имеет существенное влияние, не вправе выкупать инструмент, в том числе банк не вправе напрямую или косвенным образом принимать участие (в том числе путем выделения денежных средств в виде кредитов, предоплаты и др. и/или оказания иных услуг) в покупке инструмента.</w:t>
      </w:r>
    </w:p>
    <w:p>
      <w:pPr>
        <w:spacing w:after="120"/>
        <w:jc w:val="both"/>
      </w:pPr>
      <w:r>
        <w:rPr>
          <w:rFonts w:ascii="Arial" w:cs="Arial" w:eastAsia="Arial" w:hAnsi="Arial"/>
          <w:sz w:val="24"/>
          <w:szCs w:val="24"/>
        </w:rPr>
        <w:t xml:space="preserve">(В редакции постановления Правления Нацбанка КР от 28 июня 2019 года № 2019-П-12/34-3)</w:t>
      </w:r>
    </w:p>
    <w:p>
      <w:pPr>
        <w:spacing w:after="120"/>
        <w:jc w:val="both"/>
      </w:pPr>
      <w:r>
        <w:rPr>
          <w:rFonts w:ascii="Arial" w:cs="Arial" w:eastAsia="Arial" w:hAnsi="Arial"/>
          <w:sz w:val="24"/>
          <w:szCs w:val="24"/>
        </w:rPr>
        <w:t xml:space="preserve">3.9. Капитал Второго уровня необходим для обеспечения поглощения убытков при ликвидации банка.</w:t>
      </w:r>
    </w:p>
    <w:p>
      <w:pPr>
        <w:spacing w:after="120"/>
        <w:jc w:val="both"/>
      </w:pPr>
      <w:r>
        <w:rPr>
          <w:rFonts w:ascii="Arial" w:cs="Arial" w:eastAsia="Arial" w:hAnsi="Arial"/>
          <w:sz w:val="24"/>
          <w:szCs w:val="24"/>
        </w:rPr>
        <w:t xml:space="preserve">Структуру капитала Второго уровня составляют следующие элементы:</w:t>
      </w:r>
    </w:p>
    <w:p>
      <w:pPr>
        <w:spacing w:after="120"/>
        <w:jc w:val="both"/>
      </w:pPr>
      <w:r>
        <w:rPr>
          <w:rFonts w:ascii="Arial" w:cs="Arial" w:eastAsia="Arial" w:hAnsi="Arial"/>
          <w:sz w:val="24"/>
          <w:szCs w:val="24"/>
        </w:rPr>
        <w:t xml:space="preserve">1) "прибыль текущего года" - прибыль после налогообложения, полученная в текущем году;</w:t>
      </w:r>
    </w:p>
    <w:p>
      <w:pPr>
        <w:spacing w:after="120"/>
        <w:jc w:val="both"/>
      </w:pPr>
      <w:r>
        <w:rPr>
          <w:rFonts w:ascii="Arial" w:cs="Arial" w:eastAsia="Arial" w:hAnsi="Arial"/>
          <w:sz w:val="24"/>
          <w:szCs w:val="24"/>
        </w:rPr>
        <w:t xml:space="preserve">2) "общие резервы":</w:t>
      </w:r>
    </w:p>
    <w:p>
      <w:pPr>
        <w:spacing w:after="120"/>
        <w:jc w:val="both"/>
      </w:pPr>
      <w:r>
        <w:rPr>
          <w:rFonts w:ascii="Arial" w:cs="Arial" w:eastAsia="Arial" w:hAnsi="Arial"/>
          <w:sz w:val="24"/>
          <w:szCs w:val="24"/>
        </w:rPr>
        <w:t xml:space="preserve">а) "общие" резервы на покрытие потенциальных потерь и убытков;</w:t>
      </w:r>
    </w:p>
    <w:p>
      <w:pPr>
        <w:spacing w:after="120"/>
        <w:jc w:val="both"/>
      </w:pPr>
      <w:r>
        <w:rPr>
          <w:rFonts w:ascii="Arial" w:cs="Arial" w:eastAsia="Arial" w:hAnsi="Arial"/>
          <w:sz w:val="24"/>
          <w:szCs w:val="24"/>
        </w:rPr>
        <w:t xml:space="preserve">б) "общие" резервы на покрытие потенциальных потерь и убытков от других активов, кроме кредитов.</w:t>
      </w:r>
    </w:p>
    <w:p>
      <w:pPr>
        <w:spacing w:after="120"/>
        <w:jc w:val="both"/>
      </w:pPr>
      <w:r>
        <w:rPr>
          <w:rFonts w:ascii="Arial" w:cs="Arial" w:eastAsia="Arial" w:hAnsi="Arial"/>
          <w:sz w:val="24"/>
          <w:szCs w:val="24"/>
        </w:rPr>
        <w:t xml:space="preserve">Данные резервы, имеющие право на включение в Капитал Второго уровня, будут ограничены максимум на 1,25 процентов, от стоимости активов и забалансовых обязательств, взвешенных по степени кредитного риска;</w:t>
      </w:r>
    </w:p>
    <w:p>
      <w:pPr>
        <w:spacing w:after="120"/>
        <w:jc w:val="both"/>
      </w:pPr>
      <w:r>
        <w:rPr>
          <w:rFonts w:ascii="Arial" w:cs="Arial" w:eastAsia="Arial" w:hAnsi="Arial"/>
          <w:sz w:val="24"/>
          <w:szCs w:val="24"/>
        </w:rPr>
        <w:t xml:space="preserve">3) "резервы по переоценке ценных бумаг" - нереализованные прибыль (убытки) по результатам переоценки ценных бумаг, годных для продажи;</w:t>
      </w:r>
    </w:p>
    <w:p>
      <w:pPr>
        <w:spacing w:after="120"/>
        <w:jc w:val="both"/>
      </w:pPr>
      <w:r>
        <w:rPr>
          <w:rFonts w:ascii="Arial" w:cs="Arial" w:eastAsia="Arial" w:hAnsi="Arial"/>
          <w:sz w:val="24"/>
          <w:szCs w:val="24"/>
        </w:rPr>
        <w:t xml:space="preserve">4) "резервы по пересчету иностранной валюты при консолидации" - нереализованные доходы (убытки), возникающие в результате изменения валютного курса при пересчете отчетности иностранных дочерних финансовых учреждений банка;</w:t>
      </w:r>
    </w:p>
    <w:p>
      <w:pPr>
        <w:spacing w:after="120"/>
        <w:jc w:val="both"/>
      </w:pPr>
      <w:r>
        <w:rPr>
          <w:rFonts w:ascii="Arial" w:cs="Arial" w:eastAsia="Arial" w:hAnsi="Arial"/>
          <w:sz w:val="24"/>
          <w:szCs w:val="24"/>
        </w:rPr>
        <w:t xml:space="preserve">5) часть инструментов капитала и долговых инструментов, которая может быть включена в состав Капитала Второго уровня с разрешения Национального банка по письменному заявлению Совета директоров банка;</w:t>
      </w:r>
    </w:p>
    <w:p>
      <w:pPr>
        <w:spacing w:after="120"/>
        <w:jc w:val="both"/>
      </w:pPr>
      <w:r>
        <w:rPr>
          <w:rFonts w:ascii="Arial" w:cs="Arial" w:eastAsia="Arial" w:hAnsi="Arial"/>
          <w:sz w:val="24"/>
          <w:szCs w:val="24"/>
        </w:rPr>
        <w:t xml:space="preserve">6) разница между ценой продажи акций, включенных в Капитал Второго уровня (не включенных в Капитал Первого уровня), и их номинальной стоимостью по результатам эмиссии.</w:t>
      </w:r>
    </w:p>
    <w:p>
      <w:pPr>
        <w:spacing w:after="120"/>
        <w:jc w:val="both"/>
      </w:pPr>
      <w:r>
        <w:rPr>
          <w:rFonts w:ascii="Arial" w:cs="Arial" w:eastAsia="Arial" w:hAnsi="Arial"/>
          <w:sz w:val="24"/>
          <w:szCs w:val="24"/>
        </w:rPr>
        <w:t xml:space="preserve">Инструменты, входящие в структуру капитала Второго уровня, должны соответствовать следующим критериям:</w:t>
      </w:r>
    </w:p>
    <w:p>
      <w:pPr>
        <w:spacing w:after="120"/>
        <w:jc w:val="both"/>
      </w:pPr>
      <w:r>
        <w:rPr>
          <w:rFonts w:ascii="Arial" w:cs="Arial" w:eastAsia="Arial" w:hAnsi="Arial"/>
          <w:sz w:val="24"/>
          <w:szCs w:val="24"/>
        </w:rPr>
        <w:t xml:space="preserve">1) быть выпущенными и оплаченными;</w:t>
      </w:r>
    </w:p>
    <w:p>
      <w:pPr>
        <w:spacing w:after="120"/>
        <w:jc w:val="both"/>
      </w:pPr>
      <w:r>
        <w:rPr>
          <w:rFonts w:ascii="Arial" w:cs="Arial" w:eastAsia="Arial" w:hAnsi="Arial"/>
          <w:sz w:val="24"/>
          <w:szCs w:val="24"/>
        </w:rPr>
        <w:t xml:space="preserve">2) должны быть субординированными, то есть требования по данным инструментам подлежат удовлетворению в последнюю очередь после удовлетворения всех претензий со стороны вкладчиков, основных кредиторов и субординированного долга банка;</w:t>
      </w:r>
    </w:p>
    <w:p>
      <w:pPr>
        <w:spacing w:after="120"/>
        <w:jc w:val="both"/>
      </w:pPr>
      <w:r>
        <w:rPr>
          <w:rFonts w:ascii="Arial" w:cs="Arial" w:eastAsia="Arial" w:hAnsi="Arial"/>
          <w:sz w:val="24"/>
          <w:szCs w:val="24"/>
        </w:rPr>
        <w:t xml:space="preserve">3) инструмент не должен быть обеспечением или гарантией по обязательствам банка/связанных лиц банка, а также не должен подпадать под какие-либо требования/условия, которые могут обязать банк в правовом или экономическом отношении к первоочередному удовлетворению требования;</w:t>
      </w:r>
    </w:p>
    <w:p>
      <w:pPr>
        <w:spacing w:after="120"/>
        <w:jc w:val="both"/>
      </w:pPr>
      <w:r>
        <w:rPr>
          <w:rFonts w:ascii="Arial" w:cs="Arial" w:eastAsia="Arial" w:hAnsi="Arial"/>
          <w:sz w:val="24"/>
          <w:szCs w:val="24"/>
        </w:rPr>
        <w:t xml:space="preserve">4) срок погашения:</w:t>
      </w:r>
    </w:p>
    <w:p>
      <w:pPr>
        <w:spacing w:after="120"/>
        <w:jc w:val="both"/>
      </w:pPr>
      <w:r>
        <w:rPr>
          <w:rFonts w:ascii="Arial" w:cs="Arial" w:eastAsia="Arial" w:hAnsi="Arial"/>
          <w:sz w:val="24"/>
          <w:szCs w:val="24"/>
        </w:rPr>
        <w:t xml:space="preserve">а) минимальный срок погашения должен составлять не менее 5 (пяти) лет,</w:t>
      </w:r>
    </w:p>
    <w:p>
      <w:pPr>
        <w:spacing w:after="120"/>
        <w:jc w:val="both"/>
      </w:pPr>
      <w:r>
        <w:rPr>
          <w:rFonts w:ascii="Arial" w:cs="Arial" w:eastAsia="Arial" w:hAnsi="Arial"/>
          <w:sz w:val="24"/>
          <w:szCs w:val="24"/>
        </w:rPr>
        <w:t xml:space="preserve">б) амортизация инструментов капитала осуществляется на основе метода равномерных отчислений за оставшиеся пять лет до наступления срока погашения;</w:t>
      </w:r>
    </w:p>
    <w:p>
      <w:pPr>
        <w:spacing w:after="120"/>
        <w:jc w:val="both"/>
      </w:pPr>
      <w:r>
        <w:rPr>
          <w:rFonts w:ascii="Arial" w:cs="Arial" w:eastAsia="Arial" w:hAnsi="Arial"/>
          <w:sz w:val="24"/>
          <w:szCs w:val="24"/>
        </w:rPr>
        <w:t xml:space="preserve">в) не должны предусматривать какие-либо стимулы к выкупу;</w:t>
      </w:r>
    </w:p>
    <w:p>
      <w:pPr>
        <w:spacing w:after="120"/>
        <w:jc w:val="both"/>
      </w:pPr>
      <w:r>
        <w:rPr>
          <w:rFonts w:ascii="Arial" w:cs="Arial" w:eastAsia="Arial" w:hAnsi="Arial"/>
          <w:sz w:val="24"/>
          <w:szCs w:val="24"/>
        </w:rPr>
        <w:t xml:space="preserve">5) могут быть выкуплены эмитентом или погашены по его инициативе только после минимального срока, составляющего 5 (пять) лет, и только после предварительного одобрения Национального банка. При этом:</w:t>
      </w:r>
    </w:p>
    <w:p>
      <w:pPr>
        <w:spacing w:after="120"/>
        <w:jc w:val="both"/>
      </w:pPr>
      <w:r>
        <w:rPr>
          <w:rFonts w:ascii="Arial" w:cs="Arial" w:eastAsia="Arial" w:hAnsi="Arial"/>
          <w:sz w:val="24"/>
          <w:szCs w:val="24"/>
        </w:rPr>
        <w:t xml:space="preserve">а) банк не должен предпринимать каких-либо действий при выпуске инструмента, ожидая, что данный инструмент будет выкуплен обратно;</w:t>
      </w:r>
    </w:p>
    <w:p>
      <w:pPr>
        <w:spacing w:after="120"/>
        <w:jc w:val="both"/>
      </w:pPr>
      <w:r>
        <w:rPr>
          <w:rFonts w:ascii="Arial" w:cs="Arial" w:eastAsia="Arial" w:hAnsi="Arial"/>
          <w:sz w:val="24"/>
          <w:szCs w:val="24"/>
        </w:rPr>
        <w:t xml:space="preserve">б) выкуп/погашение допускается только в случае:</w:t>
      </w:r>
    </w:p>
    <w:p>
      <w:pPr>
        <w:spacing w:after="120"/>
        <w:jc w:val="both"/>
      </w:pPr>
      <w:r>
        <w:rPr>
          <w:rFonts w:ascii="Arial" w:cs="Arial" w:eastAsia="Arial" w:hAnsi="Arial"/>
          <w:sz w:val="24"/>
          <w:szCs w:val="24"/>
        </w:rPr>
        <w:t xml:space="preserve">- замены инструмента инструментом такого же рода или наиболее высокого качества, если замена указанного инструмента производится на условиях, являющихся надежными для капитала банка;</w:t>
      </w:r>
    </w:p>
    <w:p>
      <w:pPr>
        <w:spacing w:after="120"/>
        <w:jc w:val="both"/>
      </w:pPr>
      <w:r>
        <w:rPr>
          <w:rFonts w:ascii="Arial" w:cs="Arial" w:eastAsia="Arial" w:hAnsi="Arial"/>
          <w:sz w:val="24"/>
          <w:szCs w:val="24"/>
        </w:rPr>
        <w:t xml:space="preserve">- если минимальные требования Национального банка по капиталу не нарушаются;</w:t>
      </w:r>
    </w:p>
    <w:p>
      <w:pPr>
        <w:spacing w:after="120"/>
        <w:jc w:val="both"/>
      </w:pPr>
      <w:r>
        <w:rPr>
          <w:rFonts w:ascii="Arial" w:cs="Arial" w:eastAsia="Arial" w:hAnsi="Arial"/>
          <w:sz w:val="24"/>
          <w:szCs w:val="24"/>
        </w:rPr>
        <w:t xml:space="preserve">- получения предварительного разрешения Национального банка;</w:t>
      </w:r>
    </w:p>
    <w:p>
      <w:pPr>
        <w:spacing w:after="120"/>
        <w:jc w:val="both"/>
      </w:pPr>
      <w:r>
        <w:rPr>
          <w:rFonts w:ascii="Arial" w:cs="Arial" w:eastAsia="Arial" w:hAnsi="Arial"/>
          <w:sz w:val="24"/>
          <w:szCs w:val="24"/>
        </w:rPr>
        <w:t xml:space="preserve">6) инвестор/кредитор не имеет каких-либо прав на досрочное погашение будущих запланированных платежей (процентного дохода или основной суммы инструмента), за исключением случаев банкротства и ликвидации;</w:t>
      </w:r>
    </w:p>
    <w:p>
      <w:pPr>
        <w:spacing w:after="120"/>
        <w:jc w:val="both"/>
      </w:pPr>
      <w:r>
        <w:rPr>
          <w:rFonts w:ascii="Arial" w:cs="Arial" w:eastAsia="Arial" w:hAnsi="Arial"/>
          <w:sz w:val="24"/>
          <w:szCs w:val="24"/>
        </w:rPr>
        <w:t xml:space="preserve">7) ни банк, ни связанное лицо, над которым банк осуществляет контроль или имеет существенное влияние, не вправе выкупать инструмент, в том числе банк не вправе напрямую или косвенным образом принимать участие (в том числе путем выделения денежных средств в виде кредитов, предоплаты и др. и/или оказания иных услуг) в покупке инструмента.</w:t>
      </w:r>
    </w:p>
    <w:p>
      <w:pPr>
        <w:spacing w:after="120"/>
        <w:jc w:val="both"/>
      </w:pPr>
      <w:r>
        <w:rPr>
          <w:rFonts w:ascii="Arial" w:cs="Arial" w:eastAsia="Arial" w:hAnsi="Arial"/>
          <w:sz w:val="24"/>
          <w:szCs w:val="24"/>
        </w:rPr>
        <w:t xml:space="preserve">(В редакции постановлений Правления Нацбанка КР от 28 июня 2019 года № 2019-П-12/34-3, 27 декабря 2019 года № 2019-П-12/68-2)</w:t>
      </w:r>
    </w:p>
    <w:p>
      <w:pPr>
        <w:spacing w:after="120"/>
        <w:jc w:val="both"/>
      </w:pPr>
      <w:r>
        <w:rPr>
          <w:rFonts w:ascii="Arial" w:cs="Arial" w:eastAsia="Arial" w:hAnsi="Arial"/>
          <w:sz w:val="24"/>
          <w:szCs w:val="24"/>
        </w:rPr>
        <w:t xml:space="preserve">3.10. До расчета коэффициентов достаточности (адекватности) Чистого Суммарного капитала, достаточности (адекватности) капитала Первого уровня, Базового капитала Первого уровня и коэффициента Левеража из Базового капитала Первого уровня вычитаются следующие элементы:</w:t>
      </w:r>
    </w:p>
    <w:p>
      <w:pPr>
        <w:spacing w:after="120"/>
        <w:jc w:val="both"/>
      </w:pPr>
      <w:r>
        <w:rPr>
          <w:rFonts w:ascii="Arial" w:cs="Arial" w:eastAsia="Arial" w:hAnsi="Arial"/>
          <w:sz w:val="24"/>
          <w:szCs w:val="24"/>
        </w:rPr>
        <w:t xml:space="preserve">1) убытки за текущий год;</w:t>
      </w:r>
    </w:p>
    <w:p>
      <w:pPr>
        <w:spacing w:after="120"/>
        <w:jc w:val="both"/>
      </w:pPr>
      <w:r>
        <w:rPr>
          <w:rFonts w:ascii="Arial" w:cs="Arial" w:eastAsia="Arial" w:hAnsi="Arial"/>
          <w:sz w:val="24"/>
          <w:szCs w:val="24"/>
        </w:rPr>
        <w:t xml:space="preserve">2) нематериальные активы, за исключением активов, связанных с техническими и программными продуктами (например, для биометрической идентификации, смарт-контракты и др.), направленными на увеличение количества клиентов и охвата услуг, которые соответствуют следующим требованиям:</w:t>
      </w:r>
    </w:p>
    <w:p>
      <w:pPr>
        <w:spacing w:after="120"/>
        <w:jc w:val="both"/>
      </w:pPr>
      <w:r>
        <w:rPr>
          <w:rFonts w:ascii="Arial" w:cs="Arial" w:eastAsia="Arial" w:hAnsi="Arial"/>
          <w:sz w:val="24"/>
          <w:szCs w:val="24"/>
        </w:rPr>
        <w:t xml:space="preserve">- решение должно быть новым или значительно отличаться от существующих предложений рынка, либо предлагать новые возможности использования существующих технологий, что подтверждается исследованиями рынка и сравнением ключевых характеристик технологии;</w:t>
      </w:r>
    </w:p>
    <w:p>
      <w:pPr>
        <w:spacing w:after="120"/>
        <w:jc w:val="both"/>
      </w:pPr>
      <w:r>
        <w:rPr>
          <w:rFonts w:ascii="Arial" w:cs="Arial" w:eastAsia="Arial" w:hAnsi="Arial"/>
          <w:sz w:val="24"/>
          <w:szCs w:val="24"/>
        </w:rPr>
        <w:t xml:space="preserve">- решение должно предлагать клиентам очевидные прямые или косвенные выгоды (например, техническое задание, показывающее повышенную безопасность, качество обслуживания, эффективность, качество продукции, более низкие цены, сочетание любого из перечисленных) и подкрепляться сравнительным анализом банка с количественными оценками при необходимости.</w:t>
      </w:r>
    </w:p>
    <w:p>
      <w:pPr>
        <w:spacing w:after="120"/>
        <w:jc w:val="both"/>
      </w:pPr>
      <w:r>
        <w:rPr>
          <w:rFonts w:ascii="Arial" w:cs="Arial" w:eastAsia="Arial" w:hAnsi="Arial"/>
          <w:sz w:val="24"/>
          <w:szCs w:val="24"/>
        </w:rPr>
        <w:t xml:space="preserve">В случае наличия результатов технического тестирования они должны быть доступны Национальному банку. В качестве альтернативы возможно предоставление подтверждения технической надежности данного решения от независимой третьей стороны.</w:t>
      </w:r>
    </w:p>
    <w:p>
      <w:pPr>
        <w:spacing w:after="120"/>
        <w:jc w:val="both"/>
      </w:pPr>
      <w:r>
        <w:rPr>
          <w:rFonts w:ascii="Arial" w:cs="Arial" w:eastAsia="Arial" w:hAnsi="Arial"/>
          <w:sz w:val="24"/>
          <w:szCs w:val="24"/>
        </w:rPr>
        <w:t xml:space="preserve">Данные технические и программные продукты должны учитываться банком по балансовой стоимости;</w:t>
      </w:r>
    </w:p>
    <w:p>
      <w:pPr>
        <w:spacing w:after="120"/>
        <w:jc w:val="both"/>
      </w:pPr>
      <w:r>
        <w:rPr>
          <w:rFonts w:ascii="Arial" w:cs="Arial" w:eastAsia="Arial" w:hAnsi="Arial"/>
          <w:sz w:val="24"/>
          <w:szCs w:val="24"/>
        </w:rPr>
        <w:t xml:space="preserve">3) инвестиции (в виде акций или долевого участия в капитале) в другие неконсолидированные банки и финансово-кредитные организации, а также нефинансовые организации. Если банк инвестирует в эти организации дополнительный капитал Первого уровня или Капитал Второго уровня, эти инвестиции должны вычитаться из соответствующего капитала;</w:t>
      </w:r>
    </w:p>
    <w:p>
      <w:pPr>
        <w:spacing w:after="120"/>
        <w:jc w:val="both"/>
      </w:pPr>
      <w:r>
        <w:rPr>
          <w:rFonts w:ascii="Arial" w:cs="Arial" w:eastAsia="Arial" w:hAnsi="Arial"/>
          <w:sz w:val="24"/>
          <w:szCs w:val="24"/>
        </w:rPr>
        <w:t xml:space="preserve">4) все отсроченные налоговые активы, которые зависят от будущей доходности, рассчитанные на основе Международных стандартов финансовой отчетности (МСФО) 12, за исключением отсроченных налоговых активов, связанных с временными разницами. Отсроченные налоговые активы могут быть зачтены с отсроченными налоговыми обязательствами, если выполнены условия МСФО 12;</w:t>
      </w:r>
    </w:p>
    <w:p>
      <w:pPr>
        <w:spacing w:after="120"/>
        <w:jc w:val="both"/>
      </w:pPr>
      <w:r>
        <w:rPr>
          <w:rFonts w:ascii="Arial" w:cs="Arial" w:eastAsia="Arial" w:hAnsi="Arial"/>
          <w:sz w:val="24"/>
          <w:szCs w:val="24"/>
        </w:rPr>
        <w:t xml:space="preserve">5) прямые или косвенные инвестиции в собственные акции. Банк имеет право выкупать собственные акции только для последующей их продажи по более высокой цене при условии, что банком заключен предварительный договор продажи акций для их реализации после выкупа и деятельность банка является безубыточной в течение предыдущих пяти лет до дня принятия решения о выкупе собственных акций. Банк будет вычитать эти акции до тех пор, пока они не будут проданы.</w:t>
      </w:r>
    </w:p>
    <w:p>
      <w:pPr>
        <w:spacing w:after="120"/>
        <w:jc w:val="both"/>
      </w:pPr>
      <w:r>
        <w:rPr>
          <w:rFonts w:ascii="Arial" w:cs="Arial" w:eastAsia="Arial" w:hAnsi="Arial"/>
          <w:sz w:val="24"/>
          <w:szCs w:val="24"/>
        </w:rPr>
        <w:t xml:space="preserve">Используя идентичный подход, банки должны вычесть инвестиции в свой собственный Дополнительный капитал Первого уровня при расчете Дополнительного капитала Первого уровня и должны вычесть инвестиции в их собственный Капитал Второго уровня при расчете своего Капитала Второго уровня.</w:t>
      </w:r>
    </w:p>
    <w:p>
      <w:pPr>
        <w:spacing w:after="120"/>
        <w:jc w:val="both"/>
      </w:pPr>
      <w:r>
        <w:rPr>
          <w:rFonts w:ascii="Arial" w:cs="Arial" w:eastAsia="Arial" w:hAnsi="Arial"/>
          <w:sz w:val="24"/>
          <w:szCs w:val="24"/>
        </w:rPr>
        <w:t xml:space="preserve">Взаимные перекрестные владения капиталом, которые приводят к искусственному увеличению капитальной позиции банка, должны быть вычтены в полном объеме. Банки должны применять "соответствующий подход к вычету" для таких инвестиций в капитал других банков, других финансовых и страховых организаций. Это означает, что вычет должен применяться к тому же компоненту капитала, для которого капитал будет квалифицироваться также как, если бы он был выпущен самим банком.</w:t>
      </w:r>
    </w:p>
    <w:p>
      <w:pPr>
        <w:spacing w:after="120"/>
        <w:jc w:val="both"/>
      </w:pPr>
      <w:r>
        <w:rPr>
          <w:rFonts w:ascii="Arial" w:cs="Arial" w:eastAsia="Arial" w:hAnsi="Arial"/>
          <w:sz w:val="24"/>
          <w:szCs w:val="24"/>
        </w:rPr>
        <w:t xml:space="preserve">(В редакции постановления Правления Нацбанка КР от </w:t>
      </w:r>
      <w:hyperlink w:history="1" r:id="rIdyexa7sohs0yl18ec_ct6v">
        <w:r>
          <w:rPr>
            <w:rFonts w:ascii="Arial" w:cs="Arial" w:eastAsia="Arial" w:hAnsi="Arial"/>
            <w:color w:val="1D4ED8"/>
            <w:sz w:val="24"/>
            <w:szCs w:val="24"/>
            <w:u w:val="single"/>
          </w:rPr>
          <w:t xml:space="preserve">15 сентября 2021 года № 2021-П-12/51-1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3.11. Значения капитала Первого уровня и чистого Суммарного капитала по состоянию на 1-е число месяца, следующего за отчетным периодом, используются для расчета стандартов достаточности (адекватности) капитала и других экономических нормативов, и требований, установленных Национальным банком. При расчете экономических нормативов, значения которых определяются на ежедневной или еженедельной основе в течение отчетного месяца, используется суммарное значение чистого суммарного капитала банка по состоянию на 1-е число отчетного месяца и дополнительного капитала, в случае его внесения юридическими или физическими лицами в установленном порядке к дате составления отчета.</w:t>
      </w:r>
    </w:p>
    <w:p>
      <w:pPr>
        <w:spacing w:after="120"/>
        <w:jc w:val="both"/>
      </w:pPr>
      <w:r>
        <w:rPr>
          <w:rFonts w:ascii="Arial" w:cs="Arial" w:eastAsia="Arial" w:hAnsi="Arial"/>
          <w:sz w:val="24"/>
          <w:szCs w:val="24"/>
        </w:rPr>
        <w:t xml:space="preserve">(В редакции постановления Правления Нацбанка КР от 28 июня 2019 года № 2019-П-12/34-3)</w:t>
      </w:r>
    </w:p>
    <w:p>
      <w:pPr>
        <w:spacing w:after="120"/>
        <w:jc w:val="both"/>
      </w:pPr>
      <w:r>
        <w:rPr>
          <w:rFonts w:ascii="Arial" w:cs="Arial" w:eastAsia="Arial" w:hAnsi="Arial"/>
          <w:sz w:val="24"/>
          <w:szCs w:val="24"/>
        </w:rPr>
        <w:t xml:space="preserve">4. Оценка балансовых активов по степени риска</w:t>
      </w:r>
    </w:p>
    <w:p>
      <w:pPr>
        <w:spacing w:after="120"/>
        <w:jc w:val="both"/>
      </w:pPr>
      <w:r>
        <w:rPr>
          <w:rFonts w:ascii="Arial" w:cs="Arial" w:eastAsia="Arial" w:hAnsi="Arial"/>
          <w:sz w:val="24"/>
          <w:szCs w:val="24"/>
        </w:rPr>
        <w:t xml:space="preserve">4.1. Оценка адекватности капитала в рамках данной Инструкции проводится в отношении кредитного риска, т.е. риска, относящегося к различным видам активов и заключающегося в невозможности обеспечения клиентом полного или частичного возврата актива, а также операционного риска в части расчета коэффициента адекватности суммарного капитала в соответствии с подпунктом "а" пункта 2.2 настоящей Инструкции.</w:t>
      </w:r>
    </w:p>
    <w:p>
      <w:pPr>
        <w:spacing w:after="120"/>
        <w:jc w:val="both"/>
      </w:pPr>
      <w:r>
        <w:rPr>
          <w:rFonts w:ascii="Arial" w:cs="Arial" w:eastAsia="Arial" w:hAnsi="Arial"/>
          <w:sz w:val="24"/>
          <w:szCs w:val="24"/>
        </w:rPr>
        <w:t xml:space="preserve">(В редакции постановления Правления Нацбанка КР от 27 декабря 2019 года № 2019-П-12/68-2)</w:t>
      </w:r>
    </w:p>
    <w:p>
      <w:pPr>
        <w:spacing w:after="120"/>
        <w:jc w:val="both"/>
      </w:pPr>
      <w:r>
        <w:rPr>
          <w:rFonts w:ascii="Arial" w:cs="Arial" w:eastAsia="Arial" w:hAnsi="Arial"/>
          <w:sz w:val="24"/>
          <w:szCs w:val="24"/>
        </w:rPr>
        <w:t xml:space="preserve">4.2. Различные виды балансовых активов имеют различную степень кредитного риска. Так, например, наличность в кассе банка является практически безрисковым видом активов в сравнении с кредитными вложениями или инвестициями в основные средства. В зависимости от степени кредитного риска все балансовые активы делятся на пять категорий (см. ниже). При этом, основными критериями, в соответствии с которыми балансовые активы относятся к той или иной категории, являются: тип партнера, страновая принадлежность партнера с точки зрения трансфертного риска, обеспечение актива, гарантии и продолжительность действия актива.</w:t>
      </w:r>
    </w:p>
    <w:p>
      <w:pPr>
        <w:spacing w:after="120"/>
        <w:jc w:val="both"/>
      </w:pPr>
      <w:r>
        <w:rPr>
          <w:rFonts w:ascii="Arial" w:cs="Arial" w:eastAsia="Arial" w:hAnsi="Arial"/>
          <w:sz w:val="24"/>
          <w:szCs w:val="24"/>
        </w:rPr>
        <w:t xml:space="preserve">4.3. В зависимости от степени кредитного риска, а также от типа отдельных партнеров/контрагентов балансовые активы делятся на следующие категории:</w:t>
      </w:r>
    </w:p>
    <w:p>
      <w:pPr>
        <w:spacing w:after="120"/>
        <w:jc w:val="both"/>
      </w:pPr>
      <w:r>
        <w:rPr>
          <w:rFonts w:ascii="Arial" w:cs="Arial" w:eastAsia="Arial" w:hAnsi="Arial"/>
          <w:sz w:val="24"/>
          <w:szCs w:val="24"/>
        </w:rPr>
        <w:t xml:space="preserve">1) Категория 1 (степень кредитного риска - 0%):</w:t>
      </w:r>
    </w:p>
    <w:p>
      <w:pPr>
        <w:spacing w:after="120"/>
        <w:jc w:val="both"/>
      </w:pPr>
      <w:r>
        <w:rPr>
          <w:rFonts w:ascii="Arial" w:cs="Arial" w:eastAsia="Arial" w:hAnsi="Arial"/>
          <w:sz w:val="24"/>
          <w:szCs w:val="24"/>
        </w:rPr>
        <w:t xml:space="preserve">а) банкноты и монеты Кыргызской Республики, государств, являющихся членами ЕАЭС и ОЭСР и государств, имеющих долгосрочный суверенный кредитный рейтинг не ниже уровня "А", присвоенный рейтинговым агентством "Standard &amp; Poor's" или равнозначный рейтинг, присвоенный одним из рейтинговых агентств "Japan Credit Rating Agency (JCR)", "Fitch Ratings", "Dominion Bond Rating Service (DBRS)" и "Moody's Investors Service".</w:t>
      </w:r>
    </w:p>
    <w:p>
      <w:pPr>
        <w:spacing w:after="120"/>
        <w:jc w:val="both"/>
      </w:pPr>
      <w:r>
        <w:rPr>
          <w:rFonts w:ascii="Arial" w:cs="Arial" w:eastAsia="Arial" w:hAnsi="Arial"/>
          <w:sz w:val="24"/>
          <w:szCs w:val="24"/>
        </w:rPr>
        <w:t xml:space="preserve">Примечание: ОЭСР - Организация экономического сотрудничества и развития. Перечень государств-членов ОЭСР размещен на официальном сайте www.oecd.org;</w:t>
      </w:r>
    </w:p>
    <w:p>
      <w:pPr>
        <w:spacing w:after="120"/>
        <w:jc w:val="both"/>
      </w:pPr>
      <w:r>
        <w:rPr>
          <w:rFonts w:ascii="Arial" w:cs="Arial" w:eastAsia="Arial" w:hAnsi="Arial"/>
          <w:sz w:val="24"/>
          <w:szCs w:val="24"/>
        </w:rPr>
        <w:t xml:space="preserve">б) требования к Национальному банку;</w:t>
      </w:r>
    </w:p>
    <w:p>
      <w:pPr>
        <w:spacing w:after="120"/>
        <w:jc w:val="both"/>
      </w:pPr>
      <w:r>
        <w:rPr>
          <w:rFonts w:ascii="Arial" w:cs="Arial" w:eastAsia="Arial" w:hAnsi="Arial"/>
          <w:sz w:val="24"/>
          <w:szCs w:val="24"/>
        </w:rPr>
        <w:t xml:space="preserve">в) требования к Правительству Кыргызской Республики (ценные бумаги, выпущенные Правительством Кыргызской Республики и другие требования);</w:t>
      </w:r>
    </w:p>
    <w:p>
      <w:pPr>
        <w:spacing w:after="120"/>
        <w:jc w:val="both"/>
      </w:pPr>
      <w:r>
        <w:rPr>
          <w:rFonts w:ascii="Arial" w:cs="Arial" w:eastAsia="Arial" w:hAnsi="Arial"/>
          <w:sz w:val="24"/>
          <w:szCs w:val="24"/>
        </w:rPr>
        <w:t xml:space="preserve">г) требования к центральным (национальным) банкам государств, имеющих долгосрочный суверенный кредитный рейтинг не ниже уровня "А", присвоенный рейтинговым агентством "Standard &amp; Poor's" или равнозначный рейтинг, присвоенный одним из рейтинговых агентств "Japan Credit Rating Agency (JCR)", "Fitch Ratings", "Dominion Bond Rating Service (DBRS)" и "Moody's Investors Service" или являющихся членами ОЭСР;</w:t>
      </w:r>
    </w:p>
    <w:p>
      <w:pPr>
        <w:spacing w:after="120"/>
        <w:jc w:val="both"/>
      </w:pPr>
      <w:r>
        <w:rPr>
          <w:rFonts w:ascii="Arial" w:cs="Arial" w:eastAsia="Arial" w:hAnsi="Arial"/>
          <w:sz w:val="24"/>
          <w:szCs w:val="24"/>
        </w:rPr>
        <w:t xml:space="preserve">д) требования к правительствам государств, имеющих долгосрочный суверенный кредитный рейтинг не ниже уровня "А", присвоенный рейтинговым агентством "Standard &amp; Poor's" или равнозначный рейтинг, присвоенный одним из рейтинговых агентств "Japan Credit Rating Agency (JCR)", "Fitch Ratings", "Dominion Bond Rating Service (DBRS)" и "Moody's Investors Service" или являющихся членами ОЭСР (ценные бумаги, выпущенные правительствами);</w:t>
      </w:r>
    </w:p>
    <w:p>
      <w:pPr>
        <w:spacing w:after="120"/>
        <w:jc w:val="both"/>
      </w:pPr>
      <w:r>
        <w:rPr>
          <w:rFonts w:ascii="Arial" w:cs="Arial" w:eastAsia="Arial" w:hAnsi="Arial"/>
          <w:sz w:val="24"/>
          <w:szCs w:val="24"/>
        </w:rPr>
        <w:t xml:space="preserve">е) активы (или их часть) с обеспечением, выраженным в национальной валюте Кыргызской Республики, и находящимся на отдельном депозитном счете.</w:t>
      </w:r>
    </w:p>
    <w:p>
      <w:pPr>
        <w:spacing w:after="120"/>
        <w:jc w:val="both"/>
      </w:pPr>
      <w:r>
        <w:rPr>
          <w:rFonts w:ascii="Arial" w:cs="Arial" w:eastAsia="Arial" w:hAnsi="Arial"/>
          <w:sz w:val="24"/>
          <w:szCs w:val="24"/>
        </w:rPr>
        <w:t xml:space="preserve">Примечание: В соответствии с Положением "О классификации активов и соответствующих отчислениях в резерв на покрытие потенциальных потерь и убытков", утвержденным постановлением Правления Национального банка № 18/3 ох 21 июля 2004 года;</w:t>
      </w:r>
    </w:p>
    <w:p>
      <w:pPr>
        <w:spacing w:after="120"/>
        <w:jc w:val="both"/>
      </w:pPr>
      <w:r>
        <w:rPr>
          <w:rFonts w:ascii="Arial" w:cs="Arial" w:eastAsia="Arial" w:hAnsi="Arial"/>
          <w:sz w:val="24"/>
          <w:szCs w:val="24"/>
        </w:rPr>
        <w:t xml:space="preserve">ж) активы (или их часть) с обеспечением, выраженным в валюте государств, являющихся членами ЕАЭС и ОЭСР, а также государств, имеющих долгосрочный суверенный кредитный рейтинг не ниже уровня "А", присвоенный рейтинговым агентством "Standard &amp; Poor's" или равнозначный рейтинг, присвоенный одним из рейтинговых агентств "Japan Credit Rating Agency (JCR)", "Fitch Ratings", "Dominion Bond Rating Service (DBRS)" и "Moody's Investors Service" и находящимся на отдельном депозитном счете;</w:t>
      </w:r>
    </w:p>
    <w:p>
      <w:pPr>
        <w:spacing w:after="120"/>
        <w:jc w:val="both"/>
      </w:pPr>
      <w:r>
        <w:rPr>
          <w:rFonts w:ascii="Arial" w:cs="Arial" w:eastAsia="Arial" w:hAnsi="Arial"/>
          <w:sz w:val="24"/>
          <w:szCs w:val="24"/>
        </w:rPr>
        <w:t xml:space="preserve">з) золото в виде аффинированных мерных слитков, эмитируемых Национальным банком;</w:t>
      </w:r>
    </w:p>
    <w:p>
      <w:pPr>
        <w:spacing w:after="120"/>
        <w:jc w:val="both"/>
      </w:pPr>
      <w:r>
        <w:rPr>
          <w:rFonts w:ascii="Arial" w:cs="Arial" w:eastAsia="Arial" w:hAnsi="Arial"/>
          <w:sz w:val="24"/>
          <w:szCs w:val="24"/>
        </w:rPr>
        <w:t xml:space="preserve">и) (утратил силу в соответствии с </w:t>
      </w:r>
      <w:hyperlink w:history="1" r:id="rIdwr1pqplb4u8rdrnsiij9x">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Нацбанка КР от 15 сентября 2021 года № 2021-П-12/51-1)</w:t>
      </w:r>
    </w:p>
    <w:p>
      <w:pPr>
        <w:spacing w:after="120"/>
        <w:jc w:val="both"/>
      </w:pPr>
      <w:r>
        <w:rPr>
          <w:rFonts w:ascii="Arial" w:cs="Arial" w:eastAsia="Arial" w:hAnsi="Arial"/>
          <w:sz w:val="24"/>
          <w:szCs w:val="24"/>
        </w:rPr>
        <w:t xml:space="preserve">2) Категория 2 (степень кредитного риска - 10%):</w:t>
      </w:r>
    </w:p>
    <w:p>
      <w:pPr>
        <w:spacing w:after="120"/>
        <w:jc w:val="both"/>
      </w:pPr>
      <w:r>
        <w:rPr>
          <w:rFonts w:ascii="Arial" w:cs="Arial" w:eastAsia="Arial" w:hAnsi="Arial"/>
          <w:sz w:val="24"/>
          <w:szCs w:val="24"/>
        </w:rPr>
        <w:t xml:space="preserve">а) активы (или их часть), обеспеченные ценными бумагами по текущей рыночной цене, которые выпущены Правительством Кыргызской Республики;</w:t>
      </w:r>
    </w:p>
    <w:p>
      <w:pPr>
        <w:spacing w:after="120"/>
        <w:jc w:val="both"/>
      </w:pPr>
      <w:r>
        <w:rPr>
          <w:rFonts w:ascii="Arial" w:cs="Arial" w:eastAsia="Arial" w:hAnsi="Arial"/>
          <w:sz w:val="24"/>
          <w:szCs w:val="24"/>
        </w:rPr>
        <w:t xml:space="preserve">б) активы (или их часть), обеспеченные ценными бумагами по текущей рыночной цене, которые выпушены правительствами государств, имеющих долгосрочный суверенный кредитный рейтинг не ниже уровня "А", присвоенный рейтинговым агентством "Standard &amp; Poor's" или равнозначный рейтинг, присвоенный одним из рейтинговых агентств "Japan Credit Rating Agency (JCR)", "Fitch Ratings", "Dominion Bond Rating Service (DBRS)" и "Moody's Investors Service" или являющихся членами ОЭСР.</w:t>
      </w:r>
    </w:p>
    <w:p>
      <w:pPr>
        <w:spacing w:after="120"/>
        <w:jc w:val="both"/>
      </w:pPr>
      <w:r>
        <w:rPr>
          <w:rFonts w:ascii="Arial" w:cs="Arial" w:eastAsia="Arial" w:hAnsi="Arial"/>
          <w:sz w:val="24"/>
          <w:szCs w:val="24"/>
        </w:rPr>
        <w:t xml:space="preserve">3) Категория 3 (степень кредитного риска - 20%):</w:t>
      </w:r>
    </w:p>
    <w:p>
      <w:pPr>
        <w:spacing w:after="120"/>
        <w:jc w:val="both"/>
      </w:pPr>
      <w:r>
        <w:rPr>
          <w:rFonts w:ascii="Arial" w:cs="Arial" w:eastAsia="Arial" w:hAnsi="Arial"/>
          <w:sz w:val="24"/>
          <w:szCs w:val="24"/>
        </w:rPr>
        <w:t xml:space="preserve">а) денежные активы в расчетах с банками и другими финансово-кредитными организациями Кыргызской Республики;</w:t>
      </w:r>
    </w:p>
    <w:p>
      <w:pPr>
        <w:spacing w:after="120"/>
        <w:jc w:val="both"/>
      </w:pPr>
      <w:r>
        <w:rPr>
          <w:rFonts w:ascii="Arial" w:cs="Arial" w:eastAsia="Arial" w:hAnsi="Arial"/>
          <w:sz w:val="24"/>
          <w:szCs w:val="24"/>
        </w:rPr>
        <w:t xml:space="preserve">б) золото и другие сертифицированные драгоценные метилы в стандартных слитках;</w:t>
      </w:r>
    </w:p>
    <w:p>
      <w:pPr>
        <w:spacing w:after="120"/>
        <w:jc w:val="both"/>
      </w:pPr>
      <w:r>
        <w:rPr>
          <w:rFonts w:ascii="Arial" w:cs="Arial" w:eastAsia="Arial" w:hAnsi="Arial"/>
          <w:sz w:val="24"/>
          <w:szCs w:val="24"/>
        </w:rPr>
        <w:t xml:space="preserve">в) денежные активы в расчетах с банками и другими финансово-кредитными организациями государств, имеющих долгосрочный суверенный кредитный рейтинг не ниже уровня "А", присвоенный рейтинговым агентством "Standard &amp; Poor's" или равнозначный рейтинг, присвоенный одним из рейтинговых агентств "Japan Credit Rating Agency (JCR)", "Fitch Ratings", "Dominion Bond Rating Service (DBRS)" и "Moody's Investors Service" или являющихся членами ОЭСР;</w:t>
      </w:r>
    </w:p>
    <w:p>
      <w:pPr>
        <w:spacing w:after="120"/>
        <w:jc w:val="both"/>
      </w:pPr>
      <w:r>
        <w:rPr>
          <w:rFonts w:ascii="Arial" w:cs="Arial" w:eastAsia="Arial" w:hAnsi="Arial"/>
          <w:sz w:val="24"/>
          <w:szCs w:val="24"/>
        </w:rPr>
        <w:t xml:space="preserve">г) требования к банкам и другим финансово-кредитным организациям Кыргызской Республики, и все активы, основанные на гарантиях данных институтов;</w:t>
      </w:r>
    </w:p>
    <w:p>
      <w:pPr>
        <w:spacing w:after="120"/>
        <w:jc w:val="both"/>
      </w:pPr>
      <w:r>
        <w:rPr>
          <w:rFonts w:ascii="Arial" w:cs="Arial" w:eastAsia="Arial" w:hAnsi="Arial"/>
          <w:sz w:val="24"/>
          <w:szCs w:val="24"/>
        </w:rPr>
        <w:t xml:space="preserve">д) требования к банкам и другим финансово-кредитным организациям государств, имеющих долгосрочный суверенный кредитный рейтинг не ниже уровня "А", присвоенный рейтинговым агентством "Standard &amp; Poor's" или равнозначный рейтинг, присвоенный одним из рейтинговых агентств "Japan Credit Rating Agency (JCR)", "Fitch Ratings", "Dominion Bond Rating Service (DBRS)" и "Moody's Investors Service" или являющихся членами ОЭСР, которые не являются аффилированными организациями по отношению к отчитывающемуся банку, и все активы, основанные на гарантиях данных институтов.</w:t>
      </w:r>
    </w:p>
    <w:p>
      <w:pPr>
        <w:spacing w:after="120"/>
        <w:jc w:val="both"/>
      </w:pPr>
      <w:r>
        <w:rPr>
          <w:rFonts w:ascii="Arial" w:cs="Arial" w:eastAsia="Arial" w:hAnsi="Arial"/>
          <w:sz w:val="24"/>
          <w:szCs w:val="24"/>
        </w:rPr>
        <w:t xml:space="preserve">4) Категория 4 (степень кредитного риска - 50%):</w:t>
      </w:r>
    </w:p>
    <w:p>
      <w:pPr>
        <w:spacing w:after="120"/>
        <w:jc w:val="both"/>
      </w:pPr>
      <w:r>
        <w:rPr>
          <w:rFonts w:ascii="Arial" w:cs="Arial" w:eastAsia="Arial" w:hAnsi="Arial"/>
          <w:sz w:val="24"/>
          <w:szCs w:val="24"/>
        </w:rPr>
        <w:t xml:space="preserve">а) кредиты физическим лицам для покупки или строительства жилья на одну семью и гарантированные первыми закладными по такому жилью. К этой категории относятся только такие ссуды, которые выданы лицам, намеревающимся жить в данном доме или квартире, т.е. данное жилье (или его часть) не будет использовано в других целях (продажа, аренда и т.п.).</w:t>
      </w:r>
    </w:p>
    <w:p>
      <w:pPr>
        <w:spacing w:after="120"/>
        <w:jc w:val="both"/>
      </w:pPr>
      <w:r>
        <w:rPr>
          <w:rFonts w:ascii="Arial" w:cs="Arial" w:eastAsia="Arial" w:hAnsi="Arial"/>
          <w:sz w:val="24"/>
          <w:szCs w:val="24"/>
        </w:rPr>
        <w:t xml:space="preserve">В случае, если данные кредиты просрочены свыше 30 дней и/или реструктуризированы, то они указываются в категории 5 со степенью кредитного риска 100%;</w:t>
      </w:r>
    </w:p>
    <w:p>
      <w:pPr>
        <w:spacing w:after="120"/>
        <w:jc w:val="both"/>
      </w:pPr>
      <w:r>
        <w:rPr>
          <w:rFonts w:ascii="Arial" w:cs="Arial" w:eastAsia="Arial" w:hAnsi="Arial"/>
          <w:sz w:val="24"/>
          <w:szCs w:val="24"/>
        </w:rPr>
        <w:t xml:space="preserve">б) золото и другие сертифицированные драгоценные металлы в мерных слитках, за исключением золотых аффинированных мерных слитков, эмитируемых Национальным банком;</w:t>
      </w:r>
    </w:p>
    <w:p>
      <w:pPr>
        <w:spacing w:after="120"/>
        <w:jc w:val="both"/>
      </w:pPr>
      <w:r>
        <w:rPr>
          <w:rFonts w:ascii="Arial" w:cs="Arial" w:eastAsia="Arial" w:hAnsi="Arial"/>
          <w:sz w:val="24"/>
          <w:szCs w:val="24"/>
        </w:rPr>
        <w:t xml:space="preserve">в) кредиты, выданные коммерческим банком по государственным программам, в том числе за счет собственных средств банков, связанным с финансированием сельского хозяйства и экспортно-ориентированных и импортозамещающих предприятий, а также другим государственным программам, направленным на оказание содействия развитию экономики республики.</w:t>
      </w:r>
    </w:p>
    <w:p>
      <w:pPr>
        <w:spacing w:after="120"/>
        <w:jc w:val="both"/>
      </w:pPr>
      <w:r>
        <w:rPr>
          <w:rFonts w:ascii="Arial" w:cs="Arial" w:eastAsia="Arial" w:hAnsi="Arial"/>
          <w:sz w:val="24"/>
          <w:szCs w:val="24"/>
        </w:rPr>
        <w:t xml:space="preserve">В случае, если данные кредиты просрочены свыше 90 дней и/или повторно реструктуризированы, то они указываются в категории 5 со степенью кредитного риска 100%.</w:t>
      </w:r>
    </w:p>
    <w:p>
      <w:pPr>
        <w:spacing w:after="120"/>
        <w:jc w:val="both"/>
      </w:pPr>
      <w:r>
        <w:rPr>
          <w:rFonts w:ascii="Arial" w:cs="Arial" w:eastAsia="Arial" w:hAnsi="Arial"/>
          <w:sz w:val="24"/>
          <w:szCs w:val="24"/>
        </w:rPr>
        <w:t xml:space="preserve">Примечание: к государственным программам относятся программы, финансируемые частично/полностью из республиканского бюджета или реализуемые через субсидирование процентных ставок из средств республиканского бюджета, включая финансирование, осуществляемое в сотрудничестве с организациями, созданными государством; программы в рамках реализации межгосударственных (межправительственных) проектов согласно международным договорам и соглашениям;</w:t>
      </w:r>
    </w:p>
    <w:p>
      <w:pPr>
        <w:spacing w:after="120"/>
        <w:jc w:val="both"/>
      </w:pPr>
      <w:r>
        <w:rPr>
          <w:rFonts w:ascii="Arial" w:cs="Arial" w:eastAsia="Arial" w:hAnsi="Arial"/>
          <w:sz w:val="24"/>
          <w:szCs w:val="24"/>
        </w:rPr>
        <w:t xml:space="preserve">г) (утратил силу в соответствии с </w:t>
      </w:r>
      <w:hyperlink w:history="1" r:id="rIdc4b6jwtzx8mrfbzbm8zcg">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Нацбанка КР от 15 сентября 2021 года № 2021-П-12/51-1)</w:t>
      </w:r>
    </w:p>
    <w:p>
      <w:pPr>
        <w:spacing w:after="120"/>
        <w:jc w:val="both"/>
      </w:pPr>
      <w:r>
        <w:rPr>
          <w:rFonts w:ascii="Arial" w:cs="Arial" w:eastAsia="Arial" w:hAnsi="Arial"/>
          <w:sz w:val="24"/>
          <w:szCs w:val="24"/>
        </w:rPr>
        <w:t xml:space="preserve">5) Категория 5 (степень кредитного риска - 100%):</w:t>
      </w:r>
    </w:p>
    <w:p>
      <w:pPr>
        <w:spacing w:after="120"/>
        <w:jc w:val="both"/>
      </w:pPr>
      <w:r>
        <w:rPr>
          <w:rFonts w:ascii="Arial" w:cs="Arial" w:eastAsia="Arial" w:hAnsi="Arial"/>
          <w:sz w:val="24"/>
          <w:szCs w:val="24"/>
        </w:rPr>
        <w:t xml:space="preserve">а) банкноты и монеты, не вошедшие в категорию 1;</w:t>
      </w:r>
    </w:p>
    <w:p>
      <w:pPr>
        <w:spacing w:after="120"/>
        <w:jc w:val="both"/>
      </w:pPr>
      <w:r>
        <w:rPr>
          <w:rFonts w:ascii="Arial" w:cs="Arial" w:eastAsia="Arial" w:hAnsi="Arial"/>
          <w:sz w:val="24"/>
          <w:szCs w:val="24"/>
        </w:rPr>
        <w:t xml:space="preserve">б) требования к правительствам и центральным банкам государств, имеющих долгосрочный суверенный кредитный рейтинг ниже уровня "А", присвоенный рейтинговым агентством "Standard &amp; Poor's" или равнозначный рейтинг, присвоенный одним из рейтинговых агентств "Japan Credit Rating Agency (JCR)", "Fitch Ratings", "Dominion Bond Rating Service (DBRS)" и "Moody's Investors Service" или не являющихся членами ОЭСР (ценные бумаги, выпущенные правительствами этих государств и другие требования);</w:t>
      </w:r>
    </w:p>
    <w:p>
      <w:pPr>
        <w:spacing w:after="120"/>
        <w:jc w:val="both"/>
      </w:pPr>
      <w:r>
        <w:rPr>
          <w:rFonts w:ascii="Arial" w:cs="Arial" w:eastAsia="Arial" w:hAnsi="Arial"/>
          <w:sz w:val="24"/>
          <w:szCs w:val="24"/>
        </w:rPr>
        <w:t xml:space="preserve">в) денежные активы в расчетах с банками и другими финансово-кредитными организациям государств, имеющих долгосрочный суверенный кредитный рейтинг ниже уровня "А", присвоенный рейтинговым агентством "Standard &amp; Poor's" или равнозначный рейтинг, присвоенный одним из рейтинговых агентств "Japan Credit Rating Agency (JCR)", "Fitch Ratings", "Dominion Bond Rating Service (DBRS)" и "Moody's Investors Service" или не являющихся членами ОЭСР;</w:t>
      </w:r>
    </w:p>
    <w:p>
      <w:pPr>
        <w:spacing w:after="120"/>
        <w:jc w:val="both"/>
      </w:pPr>
      <w:r>
        <w:rPr>
          <w:rFonts w:ascii="Arial" w:cs="Arial" w:eastAsia="Arial" w:hAnsi="Arial"/>
          <w:sz w:val="24"/>
          <w:szCs w:val="24"/>
        </w:rPr>
        <w:t xml:space="preserve">г) требования к банкам и другим финансово-кредитным организациям государств, имеющих долгосрочный суверенный кредитный рейтинг не ниже уровня "А", присвоенный рейтинговым агентством "Standard &amp; Poor's" или равнозначный рейтинг, присвоенный одним из рейтинговых агентств "Japan Credit Rating Agency (JCR)", "Fitch Ratings", "Dominion Bond Rating Service (DBRS)" и "Moody's Investors Service" или являющихся членами ОЭСР, которые являются аффилированными организациями по отношению к отчитывающемуся банку;</w:t>
      </w:r>
    </w:p>
    <w:p>
      <w:pPr>
        <w:spacing w:after="120"/>
        <w:jc w:val="both"/>
      </w:pPr>
      <w:r>
        <w:rPr>
          <w:rFonts w:ascii="Arial" w:cs="Arial" w:eastAsia="Arial" w:hAnsi="Arial"/>
          <w:sz w:val="24"/>
          <w:szCs w:val="24"/>
        </w:rPr>
        <w:t xml:space="preserve">д) требования к банкам и другим финансово-кредитным организациям государств, имеющих долгосрочный суверенный кредитный рейтинг ниже уровня "А", присвоенный рейтинговым агентством "Standard &amp; Poor's" или равнозначный рейтинг, присвоенный одним из рейтинговых агентств "Japan Credit Rating Agency (JCR)", "Fitch Ratings", "Dominion Bond Rating Service (DBRS)" и "Moody's Investors Service" или не являющихся членами ОЭСР;</w:t>
      </w:r>
    </w:p>
    <w:p>
      <w:pPr>
        <w:spacing w:after="120"/>
        <w:jc w:val="both"/>
      </w:pPr>
      <w:r>
        <w:rPr>
          <w:rFonts w:ascii="Arial" w:cs="Arial" w:eastAsia="Arial" w:hAnsi="Arial"/>
          <w:sz w:val="24"/>
          <w:szCs w:val="24"/>
        </w:rPr>
        <w:t xml:space="preserve">е) коммерческие, потребительские, ипотечные и прочие кредиты, кроме указанных в категории 4;</w:t>
      </w:r>
    </w:p>
    <w:p>
      <w:pPr>
        <w:spacing w:after="120"/>
        <w:jc w:val="both"/>
      </w:pPr>
      <w:r>
        <w:rPr>
          <w:rFonts w:ascii="Arial" w:cs="Arial" w:eastAsia="Arial" w:hAnsi="Arial"/>
          <w:sz w:val="24"/>
          <w:szCs w:val="24"/>
        </w:rPr>
        <w:t xml:space="preserve">ж) основные средства и прочая собственность банка;</w:t>
      </w:r>
    </w:p>
    <w:p>
      <w:pPr>
        <w:spacing w:after="120"/>
        <w:jc w:val="both"/>
      </w:pPr>
      <w:r>
        <w:rPr>
          <w:rFonts w:ascii="Arial" w:cs="Arial" w:eastAsia="Arial" w:hAnsi="Arial"/>
          <w:sz w:val="24"/>
          <w:szCs w:val="24"/>
        </w:rPr>
        <w:t xml:space="preserve">з) инвестиции и финансовое участие за минусом вычетов, предусмотренных подпунктом "б" пункта 3.9;</w:t>
      </w:r>
    </w:p>
    <w:p>
      <w:pPr>
        <w:spacing w:after="120"/>
        <w:jc w:val="both"/>
      </w:pPr>
      <w:r>
        <w:rPr>
          <w:rFonts w:ascii="Arial" w:cs="Arial" w:eastAsia="Arial" w:hAnsi="Arial"/>
          <w:sz w:val="24"/>
          <w:szCs w:val="24"/>
        </w:rPr>
        <w:t xml:space="preserve">и) все прочие активы, не вошедшие в категории 1, 2, 3, 4, 6 и 7.</w:t>
      </w:r>
    </w:p>
    <w:p>
      <w:pPr>
        <w:spacing w:after="120"/>
        <w:jc w:val="both"/>
      </w:pPr>
      <w:r>
        <w:rPr>
          <w:rFonts w:ascii="Arial" w:cs="Arial" w:eastAsia="Arial" w:hAnsi="Arial"/>
          <w:sz w:val="24"/>
          <w:szCs w:val="24"/>
        </w:rPr>
        <w:t xml:space="preserve">6) Категория 6 (степень кредитного риска - 150%):</w:t>
      </w:r>
    </w:p>
    <w:p>
      <w:pPr>
        <w:spacing w:after="120"/>
        <w:jc w:val="both"/>
      </w:pPr>
      <w:r>
        <w:rPr>
          <w:rFonts w:ascii="Arial" w:cs="Arial" w:eastAsia="Arial" w:hAnsi="Arial"/>
          <w:sz w:val="24"/>
          <w:szCs w:val="24"/>
        </w:rPr>
        <w:t xml:space="preserve">- коммерческие, потребительские, ипотечные и прочие кредиты в иностранной валюте, за исключением кредитов в валюте государств-членов ЕАЭС, а также кроме указанных в категории 4.</w:t>
      </w:r>
    </w:p>
    <w:p>
      <w:pPr>
        <w:spacing w:after="120"/>
        <w:jc w:val="both"/>
      </w:pPr>
      <w:r>
        <w:rPr>
          <w:rFonts w:ascii="Arial" w:cs="Arial" w:eastAsia="Arial" w:hAnsi="Arial"/>
          <w:sz w:val="24"/>
          <w:szCs w:val="24"/>
        </w:rPr>
        <w:t xml:space="preserve">7) Категория 7 (степень кредитного риска - 200%):</w:t>
      </w:r>
    </w:p>
    <w:p>
      <w:pPr>
        <w:spacing w:after="120"/>
        <w:jc w:val="both"/>
      </w:pPr>
      <w:r>
        <w:rPr>
          <w:rFonts w:ascii="Arial" w:cs="Arial" w:eastAsia="Arial" w:hAnsi="Arial"/>
          <w:sz w:val="24"/>
          <w:szCs w:val="24"/>
        </w:rPr>
        <w:t xml:space="preserve">- кредиты физическим лицам и индивидуальным предпринимателям в национальной валюте с номинальной годовой ставкой 30% и более на момент выдачи кредитов.</w:t>
      </w:r>
    </w:p>
    <w:p>
      <w:pPr>
        <w:spacing w:after="120"/>
        <w:jc w:val="both"/>
      </w:pPr>
      <w:r>
        <w:rPr>
          <w:rFonts w:ascii="Arial" w:cs="Arial" w:eastAsia="Arial" w:hAnsi="Arial"/>
          <w:sz w:val="24"/>
          <w:szCs w:val="24"/>
        </w:rPr>
        <w:t xml:space="preserve">(В редакции постановлений Правления Нацбанка КР от </w:t>
      </w:r>
      <w:hyperlink w:history="1" r:id="rIdvdgeh5s76btkktxuge6dk">
        <w:r>
          <w:rPr>
            <w:rFonts w:ascii="Arial" w:cs="Arial" w:eastAsia="Arial" w:hAnsi="Arial"/>
            <w:color w:val="1D4ED8"/>
            <w:sz w:val="24"/>
            <w:szCs w:val="24"/>
            <w:u w:val="single"/>
          </w:rPr>
          <w:t xml:space="preserve">15 августа 2018 года № 2018-П-12/33-6</w:t>
        </w:r>
      </w:hyperlink>
      <w:r>
        <w:rPr>
          <w:rFonts w:ascii="Arial" w:cs="Arial" w:eastAsia="Arial" w:hAnsi="Arial"/>
          <w:sz w:val="24"/>
          <w:szCs w:val="24"/>
        </w:rPr>
        <w:t xml:space="preserve">, 26 декабря 2018 года № 2018-П-12/58-10, 15 апреля 2019 года № 2019-П-12/20-2, </w:t>
      </w:r>
      <w:hyperlink w:history="1" r:id="rIddj-n7a1agbhzduzpkkez_">
        <w:r>
          <w:rPr>
            <w:rFonts w:ascii="Arial" w:cs="Arial" w:eastAsia="Arial" w:hAnsi="Arial"/>
            <w:color w:val="1D4ED8"/>
            <w:sz w:val="24"/>
            <w:szCs w:val="24"/>
            <w:u w:val="single"/>
          </w:rPr>
          <w:t xml:space="preserve">15 сентября 2021 года № 2021-П-12/51-1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4.4. Вложения в ценные бумаги взвешиваются за минусом премии (дисконта) и нереализованной прибыли (убытков).</w:t>
      </w:r>
    </w:p>
    <w:p>
      <w:pPr>
        <w:spacing w:after="120"/>
        <w:jc w:val="both"/>
      </w:pPr>
      <w:r>
        <w:rPr>
          <w:rFonts w:ascii="Arial" w:cs="Arial" w:eastAsia="Arial" w:hAnsi="Arial"/>
          <w:sz w:val="24"/>
          <w:szCs w:val="24"/>
        </w:rPr>
        <w:t xml:space="preserve">4.5. Суммы начисленных процентов к получению взвешиваются по степеням риска аналогичным тем, по которым взвешиваются сами активы. Например, кредиты отдельным лицам для покупки или строительства жилья на одну семью и гарантированные первыми закладными по такому жилью, взвешиваются по степени кредитного риска 50%. Следовательно, проценты к получению по данным кредитам будут также взвешиваться по степени кредитного риска 50%.</w:t>
      </w:r>
    </w:p>
    <w:p>
      <w:pPr>
        <w:spacing w:after="120"/>
        <w:jc w:val="both"/>
      </w:pPr>
      <w:r>
        <w:rPr>
          <w:rFonts w:ascii="Arial" w:cs="Arial" w:eastAsia="Arial" w:hAnsi="Arial"/>
          <w:sz w:val="24"/>
          <w:szCs w:val="24"/>
        </w:rPr>
        <w:t xml:space="preserve">5. Оценка забалансовых обязательств по степени риска</w:t>
      </w:r>
    </w:p>
    <w:p>
      <w:pPr>
        <w:spacing w:after="120"/>
        <w:jc w:val="both"/>
      </w:pPr>
      <w:r>
        <w:rPr>
          <w:rFonts w:ascii="Arial" w:cs="Arial" w:eastAsia="Arial" w:hAnsi="Arial"/>
          <w:sz w:val="24"/>
          <w:szCs w:val="24"/>
        </w:rPr>
        <w:t xml:space="preserve">5.1. Забалансовые обязательства также сопряжены с понятием кредитного риска при наличии определенных условий (см. пункт 4.1). Так, например, выдача банком гарантий от имени клиента может, при наступлении определенных событий, трансформироваться в обыкновенную выдачу кредита.</w:t>
      </w:r>
    </w:p>
    <w:p>
      <w:pPr>
        <w:spacing w:after="120"/>
        <w:jc w:val="both"/>
      </w:pPr>
      <w:r>
        <w:rPr>
          <w:rFonts w:ascii="Arial" w:cs="Arial" w:eastAsia="Arial" w:hAnsi="Arial"/>
          <w:sz w:val="24"/>
          <w:szCs w:val="24"/>
        </w:rPr>
        <w:t xml:space="preserve">5.2. Размер риска по забалансовым обязательствам определяется путем умножения номинальной стоимости забалансовых обязательств на соответствующий процентный размер фактора кредитной конверсии. Полученные значения являются балансовыми эквивалентами забалансовых обязательств и далее взвешиваются в зависимости от степени кредитного риска согласно разделу 4.</w:t>
      </w:r>
    </w:p>
    <w:p>
      <w:pPr>
        <w:spacing w:after="120"/>
        <w:jc w:val="both"/>
      </w:pPr>
      <w:r>
        <w:rPr>
          <w:rFonts w:ascii="Arial" w:cs="Arial" w:eastAsia="Arial" w:hAnsi="Arial"/>
          <w:sz w:val="24"/>
          <w:szCs w:val="24"/>
        </w:rPr>
        <w:t xml:space="preserve">5.3. Настоящей инструкцией определяются следующие процентные размеры факторов кредитной конверсии для забалансовых обязательств:</w:t>
      </w:r>
    </w:p>
    <w:p>
      <w:pPr>
        <w:spacing w:after="120"/>
        <w:jc w:val="both"/>
      </w:pPr>
      <w:r>
        <w:rPr>
          <w:rFonts w:ascii="Arial" w:cs="Arial" w:eastAsia="Arial" w:hAnsi="Arial"/>
          <w:sz w:val="24"/>
          <w:szCs w:val="24"/>
        </w:rPr>
        <w:t xml:space="preserve">Средний риск (фактор кредитной конверсии - 50%):</w:t>
      </w:r>
    </w:p>
    <w:p>
      <w:pPr>
        <w:spacing w:after="120"/>
        <w:jc w:val="both"/>
      </w:pPr>
      <w:r>
        <w:rPr>
          <w:rFonts w:ascii="Arial" w:cs="Arial" w:eastAsia="Arial" w:hAnsi="Arial"/>
          <w:sz w:val="24"/>
          <w:szCs w:val="24"/>
        </w:rPr>
        <w:t xml:space="preserve">а) забалансовые обязательства, связанные с конкретной сделкой (например, аккредитив, гарантирующий заказчику возмещение убытков при невыполнении подрядчиком своих обязательств в строительном проекте и другие подобные обязательства);</w:t>
      </w:r>
    </w:p>
    <w:p>
      <w:pPr>
        <w:spacing w:after="120"/>
        <w:jc w:val="both"/>
      </w:pPr>
      <w:r>
        <w:rPr>
          <w:rFonts w:ascii="Arial" w:cs="Arial" w:eastAsia="Arial" w:hAnsi="Arial"/>
          <w:sz w:val="24"/>
          <w:szCs w:val="24"/>
        </w:rPr>
        <w:t xml:space="preserve">б) краткосрочные самоликвидирующиеся обязательства, связанные с торговыми операциями (например, документарный аккредитив, обеспеченный отгрузкой товаров).</w:t>
      </w:r>
    </w:p>
    <w:p>
      <w:pPr>
        <w:spacing w:after="120"/>
        <w:jc w:val="both"/>
      </w:pPr>
      <w:r>
        <w:rPr>
          <w:rFonts w:ascii="Arial" w:cs="Arial" w:eastAsia="Arial" w:hAnsi="Arial"/>
          <w:sz w:val="24"/>
          <w:szCs w:val="24"/>
        </w:rPr>
        <w:t xml:space="preserve">Полный риск (фактор кредитной конверсии - 100%):</w:t>
      </w:r>
    </w:p>
    <w:p>
      <w:pPr>
        <w:spacing w:after="120"/>
        <w:jc w:val="both"/>
      </w:pPr>
      <w:r>
        <w:rPr>
          <w:rFonts w:ascii="Arial" w:cs="Arial" w:eastAsia="Arial" w:hAnsi="Arial"/>
          <w:sz w:val="24"/>
          <w:szCs w:val="24"/>
        </w:rPr>
        <w:t xml:space="preserve">а) обязательства на выдачу кредитов;</w:t>
      </w:r>
    </w:p>
    <w:p>
      <w:pPr>
        <w:spacing w:after="120"/>
        <w:jc w:val="both"/>
      </w:pPr>
      <w:r>
        <w:rPr>
          <w:rFonts w:ascii="Arial" w:cs="Arial" w:eastAsia="Arial" w:hAnsi="Arial"/>
          <w:sz w:val="24"/>
          <w:szCs w:val="24"/>
        </w:rPr>
        <w:t xml:space="preserve">б) прямые кредитные заменители (например, общие гарантии по кредитам, резервные аккредитивы, гарантии по акцептованию), т.е. документы (независимо от названия), представляющие собой юридические обязательства банка по выплате средств третьей стороне, если клиент банка, от лица которого выдана гарантия или выдан аккредитив, не может выплатить средства, выданные авансом третьей стороне по контрактному соглашению или подобным образом;</w:t>
      </w:r>
    </w:p>
    <w:p>
      <w:pPr>
        <w:spacing w:after="120"/>
        <w:jc w:val="both"/>
      </w:pPr>
      <w:r>
        <w:rPr>
          <w:rFonts w:ascii="Arial" w:cs="Arial" w:eastAsia="Arial" w:hAnsi="Arial"/>
          <w:sz w:val="24"/>
          <w:szCs w:val="24"/>
        </w:rPr>
        <w:t xml:space="preserve">в) соглашения о продаже с последующим выкупом и продажа активов, с правом контрагента вернуть актив в определенных случаях;</w:t>
      </w:r>
    </w:p>
    <w:p>
      <w:pPr>
        <w:spacing w:after="120"/>
        <w:jc w:val="both"/>
      </w:pPr>
      <w:r>
        <w:rPr>
          <w:rFonts w:ascii="Arial" w:cs="Arial" w:eastAsia="Arial" w:hAnsi="Arial"/>
          <w:sz w:val="24"/>
          <w:szCs w:val="24"/>
        </w:rPr>
        <w:t xml:space="preserve">г) обязательства по покупке активов;</w:t>
      </w:r>
    </w:p>
    <w:p>
      <w:pPr>
        <w:spacing w:after="120"/>
        <w:jc w:val="both"/>
      </w:pPr>
      <w:r>
        <w:rPr>
          <w:rFonts w:ascii="Arial" w:cs="Arial" w:eastAsia="Arial" w:hAnsi="Arial"/>
          <w:sz w:val="24"/>
          <w:szCs w:val="24"/>
        </w:rPr>
        <w:t xml:space="preserve">д) все прочие забалансовые обязательства, не вошедшие в предыдущие категории.</w:t>
      </w:r>
    </w:p>
    <w:p>
      <w:pPr>
        <w:spacing w:after="120"/>
        <w:jc w:val="both"/>
      </w:pPr>
      <w:r>
        <w:rPr>
          <w:rFonts w:ascii="Arial" w:cs="Arial" w:eastAsia="Arial" w:hAnsi="Arial"/>
          <w:sz w:val="24"/>
          <w:szCs w:val="24"/>
        </w:rPr>
        <w:t xml:space="preserve">(В редакции постановления Правления Нацбанка КР от </w:t>
      </w:r>
      <w:hyperlink w:history="1" r:id="rIdq4tb1pu7mmtu_y9u52y8e">
        <w:r>
          <w:rPr>
            <w:rFonts w:ascii="Arial" w:cs="Arial" w:eastAsia="Arial" w:hAnsi="Arial"/>
            <w:color w:val="1D4ED8"/>
            <w:sz w:val="24"/>
            <w:szCs w:val="24"/>
            <w:u w:val="single"/>
          </w:rPr>
          <w:t xml:space="preserve">15 июня 2016 года № 25/1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5.3-1. К забалансовым обязательствам, по которым банк имеет право безусловного отзыва/аннулирования в любое время без предварительного уведомления клиента, применяется фактор кредитной конверсии в размере 10%.</w:t>
      </w:r>
    </w:p>
    <w:p>
      <w:pPr>
        <w:spacing w:after="120"/>
        <w:jc w:val="both"/>
      </w:pPr>
      <w:r>
        <w:rPr>
          <w:rFonts w:ascii="Arial" w:cs="Arial" w:eastAsia="Arial" w:hAnsi="Arial"/>
          <w:sz w:val="24"/>
          <w:szCs w:val="24"/>
        </w:rPr>
        <w:t xml:space="preserve">(В редакции постановления Правления Нацбанка КР от </w:t>
      </w:r>
      <w:hyperlink w:history="1" r:id="rIdstxfgt1izrirscafnn9nm">
        <w:r>
          <w:rPr>
            <w:rFonts w:ascii="Arial" w:cs="Arial" w:eastAsia="Arial" w:hAnsi="Arial"/>
            <w:color w:val="1D4ED8"/>
            <w:sz w:val="24"/>
            <w:szCs w:val="24"/>
            <w:u w:val="single"/>
          </w:rPr>
          <w:t xml:space="preserve">15 сентября 2021 года № 2021-П-12/51-1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5.4. Забалансовые обязательства, связанные с валютными курсами и процентными ставками (например, форвардные контракты, процентные свопы, опционы и аналогичные инструменты) требуют особого внимания. При этом банки подвергают себя кредитному риску не на полную номинальную стоимость таких обязательств, а лишь на потенциальную стоимость замещения потока денежных средств (по контрактам с положительной стоимостью) в случае невыполнения партнерами по контрактам своих обязательств. Размеры кредитных эквивалентов зависят от сроков контрактов и от колебания процентных ставок и валютных курсов, лежащих в основе тех или иных финансовых инструментов.</w:t>
      </w:r>
    </w:p>
    <w:p>
      <w:pPr>
        <w:spacing w:after="120"/>
        <w:jc w:val="both"/>
      </w:pPr>
      <w:r>
        <w:rPr>
          <w:rFonts w:ascii="Arial" w:cs="Arial" w:eastAsia="Arial" w:hAnsi="Arial"/>
          <w:sz w:val="24"/>
          <w:szCs w:val="24"/>
        </w:rPr>
        <w:t xml:space="preserve">На данном этапе, для всех контрактов, связанных с валютными курсами и процентными ставками, банки могут использовать метод, согласно которому потенциальный риск рассчитывается по каждому типу контрактов, независимо от того, какова на данный момент его рыночная стоимость. Для расчета размера кредитного эквивалента необходимо умножить базовую (номинальную) стоимость каждого инструмента на один из конверсионных коэффициентов (фактор кредитной конверсии), установленных в зависимости от характера инструмента и срока его действия.</w:t>
      </w:r>
    </w:p>
    <w:p>
      <w:pPr>
        <w:spacing w:after="120"/>
        <w:jc w:val="both"/>
      </w:pPr>
      <w:r>
        <w:rPr>
          <w:rFonts w:ascii="Arial" w:cs="Arial" w:eastAsia="Arial" w:hAnsi="Arial"/>
          <w:sz w:val="24"/>
          <w:szCs w:val="24"/>
        </w:rPr>
        <w:t xml:space="preserve">5.5. Применительно к сделкам с золотом, факторы кредитной конверсии аналогичны тем, которые применяются в отношении контрактов, связанных с валютными курсами.</w:t>
      </w:r>
    </w:p>
    <w:p>
      <w:pPr>
        <w:spacing w:after="120"/>
        <w:jc w:val="both"/>
      </w:pPr>
      <w:r>
        <w:rPr>
          <w:rFonts w:ascii="Arial" w:cs="Arial" w:eastAsia="Arial" w:hAnsi="Arial"/>
          <w:sz w:val="24"/>
          <w:szCs w:val="24"/>
        </w:rPr>
        <w:t xml:space="preserve">5.6. Настоящей инструкцией определяются следующие процентные размеры факторов кредитной конверсии для забалансовых обязательств, связанных с валютными курсами и процентными ставками: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866"/>
        <w:gridCol w:w="3281"/>
        <w:gridCol w:w="3031"/>
      </w:tblGrid>
      <w:tr>
        <w:tc>
          <w:tcPr>
            <w:tcW w:type="dxa" w:w="3866"/>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Срок действия контрактов</w:t>
            </w:r>
          </w:p>
        </w:tc>
        <w:tc>
          <w:tcPr>
            <w:tcW w:type="dxa" w:w="328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Процентные контракты</w:t>
            </w:r>
          </w:p>
        </w:tc>
        <w:tc>
          <w:tcPr>
            <w:tcW w:type="dxa" w:w="303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Валютные контракты</w:t>
            </w:r>
          </w:p>
        </w:tc>
      </w:tr>
      <w:tr>
        <w:tc>
          <w:tcPr>
            <w:tcW w:type="dxa" w:w="386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Менее 1 года</w:t>
            </w:r>
          </w:p>
        </w:tc>
        <w:tc>
          <w:tcPr>
            <w:tcW w:type="dxa" w:w="328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0,5%</w:t>
            </w:r>
          </w:p>
        </w:tc>
        <w:tc>
          <w:tcPr>
            <w:tcW w:type="dxa" w:w="303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w:t>
            </w:r>
          </w:p>
        </w:tc>
      </w:tr>
      <w:tr>
        <w:tc>
          <w:tcPr>
            <w:tcW w:type="dxa" w:w="386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От 1 года до 2 лет</w:t>
            </w:r>
          </w:p>
        </w:tc>
        <w:tc>
          <w:tcPr>
            <w:tcW w:type="dxa" w:w="328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1,0%</w:t>
            </w:r>
          </w:p>
        </w:tc>
        <w:tc>
          <w:tcPr>
            <w:tcW w:type="dxa" w:w="303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5%</w:t>
            </w:r>
          </w:p>
        </w:tc>
      </w:tr>
      <w:tr>
        <w:tc>
          <w:tcPr>
            <w:tcW w:type="dxa" w:w="38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 каждый следующий год</w:t>
            </w:r>
          </w:p>
        </w:tc>
        <w:tc>
          <w:tcPr>
            <w:tcW w:type="dxa" w:w="32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30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r>
    </w:tbl>
    <w:p>
      <w:pPr>
        <w:spacing w:after="120"/>
        <w:jc w:val="both"/>
      </w:pPr>
      <w:r>
        <w:rPr>
          <w:rFonts w:ascii="Arial" w:cs="Arial" w:eastAsia="Arial" w:hAnsi="Arial"/>
          <w:sz w:val="24"/>
          <w:szCs w:val="24"/>
        </w:rPr>
        <w:t xml:space="preserve">6. Порядок и сроки представления отчетности о выполнении стандартов достаточности (адекватности) капитала</w:t>
      </w:r>
    </w:p>
    <w:p>
      <w:pPr>
        <w:spacing w:after="120"/>
        <w:jc w:val="both"/>
      </w:pPr>
      <w:r>
        <w:rPr>
          <w:rFonts w:ascii="Arial" w:cs="Arial" w:eastAsia="Arial" w:hAnsi="Arial"/>
          <w:sz w:val="24"/>
          <w:szCs w:val="24"/>
        </w:rPr>
        <w:t xml:space="preserve">6.1. Сведения о выполнении стандартов достаточности (адекватности) капитала и их расчет представляются банками ежемесячно в составе Периодического регулятивного банковского отчета.</w:t>
      </w:r>
    </w:p>
    <w:p>
      <w:pPr>
        <w:spacing w:after="120"/>
        <w:jc w:val="both"/>
      </w:pPr>
      <w:r>
        <w:rPr>
          <w:rFonts w:ascii="Arial" w:cs="Arial" w:eastAsia="Arial" w:hAnsi="Arial"/>
          <w:sz w:val="24"/>
          <w:szCs w:val="24"/>
        </w:rPr>
        <w:t xml:space="preserve">(В редакции постановления Правления Нацбанка КР от 27 декабря 2019 года № 2019-П-12/68-2)</w:t>
      </w:r>
    </w:p>
    <w:p>
      <w:pPr>
        <w:spacing w:after="120"/>
        <w:jc w:val="both"/>
      </w:pPr>
      <w:r>
        <w:rPr>
          <w:rFonts w:ascii="Arial" w:cs="Arial" w:eastAsia="Arial" w:hAnsi="Arial"/>
          <w:sz w:val="24"/>
          <w:szCs w:val="24"/>
        </w:rPr>
        <w:t xml:space="preserve">7. Порядок заполнения отчетности о выполнении стандартов достаточности (адекватности) капитала</w:t>
      </w:r>
    </w:p>
    <w:p>
      <w:pPr>
        <w:spacing w:after="120"/>
        <w:jc w:val="both"/>
      </w:pPr>
      <w:r>
        <w:rPr>
          <w:rFonts w:ascii="Arial" w:cs="Arial" w:eastAsia="Arial" w:hAnsi="Arial"/>
          <w:sz w:val="24"/>
          <w:szCs w:val="24"/>
        </w:rPr>
        <w:t xml:space="preserve">7.1. Отчетность о выполнении стандартов достаточности (адекватности) капитала составляется на основе бухгалтерского баланса банка согласно Плану счетов бухгалтерского учета в коммерческих банках и финансово-кредитных организациях, лицензируемых Национальным банком.</w:t>
      </w:r>
    </w:p>
    <w:p>
      <w:pPr>
        <w:spacing w:after="120"/>
        <w:jc w:val="both"/>
      </w:pPr>
      <w:r>
        <w:rPr>
          <w:rFonts w:ascii="Arial" w:cs="Arial" w:eastAsia="Arial" w:hAnsi="Arial"/>
          <w:sz w:val="24"/>
          <w:szCs w:val="24"/>
        </w:rPr>
        <w:t xml:space="preserve">(В редакции постановления Правления Нацбанка КР от </w:t>
      </w:r>
      <w:hyperlink w:history="1" r:id="rIdfahpybrrn4y1bn2wlm0v7">
        <w:r>
          <w:rPr>
            <w:rFonts w:ascii="Arial" w:cs="Arial" w:eastAsia="Arial" w:hAnsi="Arial"/>
            <w:color w:val="1D4ED8"/>
            <w:sz w:val="24"/>
            <w:szCs w:val="24"/>
            <w:u w:val="single"/>
          </w:rPr>
          <w:t xml:space="preserve">15 июня 2017 года № 2017-П-12/25-5</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7.2. Статьи отчетности делятся на укрупненные и детализированные (например, укрупненная статья 20 делится на две детализированные 20.1 и 20.2). В детализированных статьях указываются значения балансовых активов (забалансовых обязательств), в зависимости от их принадлежности к той или иной категории кредитного риска. Значения, указываемые в укрупненных статьях, являются суммами значений в детализированных статьях.</w:t>
      </w:r>
    </w:p>
    <w:p>
      <w:pPr>
        <w:spacing w:after="120"/>
        <w:jc w:val="both"/>
      </w:pPr>
      <w:r>
        <w:rPr>
          <w:rFonts w:ascii="Arial" w:cs="Arial" w:eastAsia="Arial" w:hAnsi="Arial"/>
          <w:sz w:val="24"/>
          <w:szCs w:val="24"/>
        </w:rPr>
        <w:t xml:space="preserve">7.3. Наименования большинства статей отчетности полностью соответствуют наименованиям отдельных счетов или групп счетов Плана счетов бухгалтерского учета в коммерческих банках и финансово-кредитных организациях, лицензируемых Национальным банком. Однако заполнение отдельных статей имеет некоторые особенности. Так, в каждой статье части "Портфель ценных бумаг" (статьи 130-230) указывается номинальная стоимость соответствующего типа ценных бумаг с учетом дисконта/премий и корректировки справедливой стоимости, независимо от их классификации. Например, в статье 130 "Ценные бумаги, выпущенные Правительством Кыргызской Республики и/или Национальным банком" указывается сумма номинальной стоимости ценных бумаг, выпущенных Правительством Кыргызской Республики и/или Национальным банком с учетом дисконта/премий и корректировки справедливой стоимости, классифицируемых, как ценные бумаги, оцениваемые по амортизированной стоимости; ценные бумаги, оцениваемые по справедливой стоимости через прибыль и убыток; ценные бумаги, оцениваемые по справедливой стоимости через прочий совокупный доход.</w:t>
      </w:r>
    </w:p>
    <w:p>
      <w:pPr>
        <w:spacing w:after="120"/>
        <w:jc w:val="both"/>
      </w:pPr>
      <w:r>
        <w:rPr>
          <w:rFonts w:ascii="Arial" w:cs="Arial" w:eastAsia="Arial" w:hAnsi="Arial"/>
          <w:sz w:val="24"/>
          <w:szCs w:val="24"/>
        </w:rPr>
        <w:t xml:space="preserve">В каждой статье части "Кредиты и лизинга" (статьи 240-360) указывается сумма ссудной задолженности соответствующего вида кредитов за вычетом дисконта.</w:t>
      </w:r>
    </w:p>
    <w:p>
      <w:pPr>
        <w:spacing w:after="120"/>
        <w:jc w:val="both"/>
      </w:pPr>
      <w:r>
        <w:rPr>
          <w:rFonts w:ascii="Arial" w:cs="Arial" w:eastAsia="Arial" w:hAnsi="Arial"/>
          <w:sz w:val="24"/>
          <w:szCs w:val="24"/>
        </w:rPr>
        <w:t xml:space="preserve">(В редакции постановлений Правления Нацбанка КР от </w:t>
      </w:r>
      <w:hyperlink w:history="1" r:id="rIdqxsjoaqnvfybocpymmnf9">
        <w:r>
          <w:rPr>
            <w:rFonts w:ascii="Arial" w:cs="Arial" w:eastAsia="Arial" w:hAnsi="Arial"/>
            <w:color w:val="1D4ED8"/>
            <w:sz w:val="24"/>
            <w:szCs w:val="24"/>
            <w:u w:val="single"/>
          </w:rPr>
          <w:t xml:space="preserve">23 октября 2004 года N 26/3</w:t>
        </w:r>
      </w:hyperlink>
      <w:r>
        <w:rPr>
          <w:rFonts w:ascii="Arial" w:cs="Arial" w:eastAsia="Arial" w:hAnsi="Arial"/>
          <w:sz w:val="24"/>
          <w:szCs w:val="24"/>
        </w:rPr>
        <w:t xml:space="preserve">, </w:t>
      </w:r>
      <w:hyperlink w:history="1" r:id="rIdbiigdban_vza3yldydvuf">
        <w:r>
          <w:rPr>
            <w:rFonts w:ascii="Arial" w:cs="Arial" w:eastAsia="Arial" w:hAnsi="Arial"/>
            <w:color w:val="1D4ED8"/>
            <w:sz w:val="24"/>
            <w:szCs w:val="24"/>
            <w:u w:val="single"/>
          </w:rPr>
          <w:t xml:space="preserve">15 июня 2017 года № 2017-П-12/25-5</w:t>
        </w:r>
      </w:hyperlink>
      <w:r>
        <w:rPr>
          <w:rFonts w:ascii="Arial" w:cs="Arial" w:eastAsia="Arial" w:hAnsi="Arial"/>
          <w:sz w:val="24"/>
          <w:szCs w:val="24"/>
        </w:rPr>
        <w:t xml:space="preserve">, </w:t>
      </w:r>
      <w:hyperlink w:history="1" r:id="rIdydnusocpse1lj-cbat9ou">
        <w:r>
          <w:rPr>
            <w:rFonts w:ascii="Arial" w:cs="Arial" w:eastAsia="Arial" w:hAnsi="Arial"/>
            <w:color w:val="1D4ED8"/>
            <w:sz w:val="24"/>
            <w:szCs w:val="24"/>
            <w:u w:val="single"/>
          </w:rPr>
          <w:t xml:space="preserve">23 марта 2022 года № 2022-П-12/17-4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 Дивиденды</w:t>
      </w:r>
    </w:p>
    <w:p>
      <w:pPr>
        <w:spacing w:after="120"/>
        <w:jc w:val="both"/>
      </w:pPr>
      <w:r>
        <w:rPr>
          <w:rFonts w:ascii="Arial" w:cs="Arial" w:eastAsia="Arial" w:hAnsi="Arial"/>
          <w:sz w:val="24"/>
          <w:szCs w:val="24"/>
        </w:rPr>
        <w:t xml:space="preserve">8.1. Дивиденды - это часть чистой прибыли банка, распределяемая между акционерами согласно законодательству.</w:t>
      </w:r>
    </w:p>
    <w:p>
      <w:pPr>
        <w:spacing w:after="120"/>
        <w:jc w:val="both"/>
      </w:pPr>
      <w:r>
        <w:rPr>
          <w:rFonts w:ascii="Arial" w:cs="Arial" w:eastAsia="Arial" w:hAnsi="Arial"/>
          <w:sz w:val="24"/>
          <w:szCs w:val="24"/>
        </w:rPr>
        <w:t xml:space="preserve">Дивиденды Государственного банка развития Кыргызской Республики распределяются в порядке, предусмотренном </w:t>
      </w:r>
      <w:hyperlink w:history="1" r:id="rIdbxyjo_gcjv11ruprmh2ja">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Государственном банке развития Кыргызской Республики".</w:t>
      </w:r>
    </w:p>
    <w:p>
      <w:pPr>
        <w:spacing w:after="120"/>
        <w:jc w:val="both"/>
      </w:pPr>
      <w:r>
        <w:rPr>
          <w:rFonts w:ascii="Arial" w:cs="Arial" w:eastAsia="Arial" w:hAnsi="Arial"/>
          <w:sz w:val="24"/>
          <w:szCs w:val="24"/>
        </w:rPr>
        <w:t xml:space="preserve">(В редакции постановления Правления Нацбанка КР от </w:t>
      </w:r>
      <w:hyperlink w:history="1" r:id="rIdje_xu64aecrawr09uj6z2">
        <w:r>
          <w:rPr>
            <w:rFonts w:ascii="Arial" w:cs="Arial" w:eastAsia="Arial" w:hAnsi="Arial"/>
            <w:color w:val="1D4ED8"/>
            <w:sz w:val="24"/>
            <w:szCs w:val="24"/>
            <w:u w:val="single"/>
          </w:rPr>
          <w:t xml:space="preserve">16 ноября 2012 года N 43/1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8.1-1. Для расчета суммы дивидендов банк должен использовать наименьшую из величин чистой прибыли, рассчитанных в соответствии с МСФО и пруденциальными требованиями.</w:t>
      </w:r>
    </w:p>
    <w:p>
      <w:pPr>
        <w:spacing w:after="120"/>
        <w:jc w:val="both"/>
      </w:pPr>
      <w:r>
        <w:rPr>
          <w:rFonts w:ascii="Arial" w:cs="Arial" w:eastAsia="Arial" w:hAnsi="Arial"/>
          <w:sz w:val="24"/>
          <w:szCs w:val="24"/>
        </w:rPr>
        <w:t xml:space="preserve">(В редакции постановления Правления Нацбанка КР от </w:t>
      </w:r>
      <w:hyperlink w:history="1" r:id="rIdanfeqeqk_ux8q60ki2mnz">
        <w:r>
          <w:rPr>
            <w:rFonts w:ascii="Arial" w:cs="Arial" w:eastAsia="Arial" w:hAnsi="Arial"/>
            <w:color w:val="1D4ED8"/>
            <w:sz w:val="24"/>
            <w:szCs w:val="24"/>
            <w:u w:val="single"/>
          </w:rPr>
          <w:t xml:space="preserve">23 марта 2022 года № 2022-П-12/17-4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8.2. Правление банка (либо соответствующий орган) на основании аудиторского заключения должно представить Совету Директоров банка и собранию акционеров для рассмотрения и соответствующей оценки анализ, как минимум, следующих факторов:</w:t>
      </w:r>
    </w:p>
    <w:p>
      <w:pPr>
        <w:spacing w:after="120"/>
        <w:jc w:val="both"/>
      </w:pPr>
      <w:r>
        <w:rPr>
          <w:rFonts w:ascii="Arial" w:cs="Arial" w:eastAsia="Arial" w:hAnsi="Arial"/>
          <w:sz w:val="24"/>
          <w:szCs w:val="24"/>
        </w:rPr>
        <w:t xml:space="preserve">а) достаточность (адекватность) капитала и тенденции его изменения;</w:t>
      </w:r>
    </w:p>
    <w:p>
      <w:pPr>
        <w:spacing w:after="120"/>
        <w:jc w:val="both"/>
      </w:pPr>
      <w:r>
        <w:rPr>
          <w:rFonts w:ascii="Arial" w:cs="Arial" w:eastAsia="Arial" w:hAnsi="Arial"/>
          <w:sz w:val="24"/>
          <w:szCs w:val="24"/>
        </w:rPr>
        <w:t xml:space="preserve">б) выполнение экономических нормативов, установленных Национальным банком;</w:t>
      </w:r>
    </w:p>
    <w:p>
      <w:pPr>
        <w:spacing w:after="120"/>
        <w:jc w:val="both"/>
      </w:pPr>
      <w:r>
        <w:rPr>
          <w:rFonts w:ascii="Arial" w:cs="Arial" w:eastAsia="Arial" w:hAnsi="Arial"/>
          <w:sz w:val="24"/>
          <w:szCs w:val="24"/>
        </w:rPr>
        <w:t xml:space="preserve">в) номинальный и реальный уровни доходов банка (с учетом уровня инфляции) и тенденции их изменения;</w:t>
      </w:r>
    </w:p>
    <w:p>
      <w:pPr>
        <w:spacing w:after="120"/>
        <w:jc w:val="both"/>
      </w:pPr>
      <w:r>
        <w:rPr>
          <w:rFonts w:ascii="Arial" w:cs="Arial" w:eastAsia="Arial" w:hAnsi="Arial"/>
          <w:sz w:val="24"/>
          <w:szCs w:val="24"/>
        </w:rPr>
        <w:t xml:space="preserve">г) перспективы роста банка;</w:t>
      </w:r>
    </w:p>
    <w:p>
      <w:pPr>
        <w:spacing w:after="120"/>
        <w:jc w:val="both"/>
      </w:pPr>
      <w:r>
        <w:rPr>
          <w:rFonts w:ascii="Arial" w:cs="Arial" w:eastAsia="Arial" w:hAnsi="Arial"/>
          <w:sz w:val="24"/>
          <w:szCs w:val="24"/>
        </w:rPr>
        <w:t xml:space="preserve">д) влияние экономических условий и уровня инфляции.</w:t>
      </w:r>
    </w:p>
    <w:p>
      <w:pPr>
        <w:spacing w:after="120"/>
        <w:jc w:val="both"/>
      </w:pPr>
      <w:r>
        <w:rPr>
          <w:rFonts w:ascii="Arial" w:cs="Arial" w:eastAsia="Arial" w:hAnsi="Arial"/>
          <w:sz w:val="24"/>
          <w:szCs w:val="24"/>
        </w:rPr>
        <w:t xml:space="preserve">8.3. Дивиденды по акциям начисляются и выплачиваются по итогам финансового года.</w:t>
      </w:r>
    </w:p>
    <w:p>
      <w:pPr>
        <w:spacing w:after="120"/>
        <w:jc w:val="both"/>
      </w:pPr>
      <w:r>
        <w:rPr>
          <w:rFonts w:ascii="Arial" w:cs="Arial" w:eastAsia="Arial" w:hAnsi="Arial"/>
          <w:sz w:val="24"/>
          <w:szCs w:val="24"/>
        </w:rPr>
        <w:t xml:space="preserve">Примечание: Финансовым годом считается период с 1 января по 31 декабря включительно.</w:t>
      </w:r>
    </w:p>
    <w:p>
      <w:pPr>
        <w:spacing w:after="120"/>
        <w:jc w:val="both"/>
      </w:pPr>
      <w:r>
        <w:rPr>
          <w:rFonts w:ascii="Arial" w:cs="Arial" w:eastAsia="Arial" w:hAnsi="Arial"/>
          <w:sz w:val="24"/>
          <w:szCs w:val="24"/>
        </w:rPr>
        <w:t xml:space="preserve">(В редакции постановления Правления Нацбанка КР от 26 апреля 2017 года № 17/13)</w:t>
      </w:r>
    </w:p>
    <w:p>
      <w:pPr>
        <w:spacing w:after="120"/>
        <w:jc w:val="both"/>
      </w:pPr>
      <w:r>
        <w:rPr>
          <w:rFonts w:ascii="Arial" w:cs="Arial" w:eastAsia="Arial" w:hAnsi="Arial"/>
          <w:sz w:val="24"/>
          <w:szCs w:val="24"/>
        </w:rPr>
        <w:t xml:space="preserve">8.4. Банк обязан получить разрешение Национального банка на выплату дивидендов акционерам банка. Документы для получения разрешения Национального банка на выплату дивидендов должны быть представлены в Национальный банк не позднее пяти рабочих дней до проведения общего собрания акционеров банка. К документам должны быть приложены планы банка по срокам выплаты дивидендов, показатели чистой прибыли, рассчитанные в соответствии с МСФО и пруденциальными требованиями, и расчеты по соблюдению экономических нормативов, а также индекса "буфер капитала", рассчитанного с учетом планируемой выплаты суммы дивидендов.</w:t>
      </w:r>
    </w:p>
    <w:p>
      <w:pPr>
        <w:spacing w:after="120"/>
        <w:jc w:val="both"/>
      </w:pPr>
      <w:r>
        <w:rPr>
          <w:rFonts w:ascii="Arial" w:cs="Arial" w:eastAsia="Arial" w:hAnsi="Arial"/>
          <w:sz w:val="24"/>
          <w:szCs w:val="24"/>
        </w:rPr>
        <w:t xml:space="preserve">В случае наличия угрозы стабильности банка, а также интересам кредиторов и вкладчиков, Национальный банк может запретить либо установить ограничения на выплату дивидендов, если:</w:t>
      </w:r>
    </w:p>
    <w:p>
      <w:pPr>
        <w:spacing w:after="120"/>
        <w:jc w:val="both"/>
      </w:pPr>
      <w:r>
        <w:rPr>
          <w:rFonts w:ascii="Arial" w:cs="Arial" w:eastAsia="Arial" w:hAnsi="Arial"/>
          <w:sz w:val="24"/>
          <w:szCs w:val="24"/>
        </w:rPr>
        <w:t xml:space="preserve">а) это приведет к нарушению экономических нормативов, установленных Национальным банком;</w:t>
      </w:r>
    </w:p>
    <w:p>
      <w:pPr>
        <w:spacing w:after="120"/>
        <w:jc w:val="both"/>
      </w:pPr>
      <w:r>
        <w:rPr>
          <w:rFonts w:ascii="Arial" w:cs="Arial" w:eastAsia="Arial" w:hAnsi="Arial"/>
          <w:sz w:val="24"/>
          <w:szCs w:val="24"/>
        </w:rPr>
        <w:t xml:space="preserve">б) значения коэффициентов адекватности капитала банка будут ниже минимальных пределов, установленных Национальным банком;</w:t>
      </w:r>
    </w:p>
    <w:p>
      <w:pPr>
        <w:spacing w:after="120"/>
        <w:jc w:val="both"/>
      </w:pPr>
      <w:r>
        <w:rPr>
          <w:rFonts w:ascii="Arial" w:cs="Arial" w:eastAsia="Arial" w:hAnsi="Arial"/>
          <w:sz w:val="24"/>
          <w:szCs w:val="24"/>
        </w:rPr>
        <w:t xml:space="preserve">в) индекс "буфер капитала", после выплаты дивидендов, будет ниже минимальных значений, установленных Национальным банком;</w:t>
      </w:r>
    </w:p>
    <w:p>
      <w:pPr>
        <w:spacing w:after="120"/>
        <w:jc w:val="both"/>
      </w:pPr>
      <w:r>
        <w:rPr>
          <w:rFonts w:ascii="Arial" w:cs="Arial" w:eastAsia="Arial" w:hAnsi="Arial"/>
          <w:sz w:val="24"/>
          <w:szCs w:val="24"/>
        </w:rPr>
        <w:t xml:space="preserve">г) не созданы или созданы в недостаточном размере резервы на покрытие потенциальных потерь и убытков, согласно требованиям Национального банка;</w:t>
      </w:r>
    </w:p>
    <w:p>
      <w:pPr>
        <w:spacing w:after="120"/>
        <w:jc w:val="both"/>
      </w:pPr>
      <w:r>
        <w:rPr>
          <w:rFonts w:ascii="Arial" w:cs="Arial" w:eastAsia="Arial" w:hAnsi="Arial"/>
          <w:sz w:val="24"/>
          <w:szCs w:val="24"/>
        </w:rPr>
        <w:t xml:space="preserve">д) банк имеет непокрытые убытки за предыдущие годы и/или за отчетный год;</w:t>
      </w:r>
    </w:p>
    <w:p>
      <w:pPr>
        <w:spacing w:after="120"/>
        <w:jc w:val="both"/>
      </w:pPr>
      <w:r>
        <w:rPr>
          <w:rFonts w:ascii="Arial" w:cs="Arial" w:eastAsia="Arial" w:hAnsi="Arial"/>
          <w:sz w:val="24"/>
          <w:szCs w:val="24"/>
        </w:rPr>
        <w:t xml:space="preserve">е) это приведет к ухудшению финансового состояния банка;</w:t>
      </w:r>
    </w:p>
    <w:p>
      <w:pPr>
        <w:spacing w:after="120"/>
        <w:jc w:val="both"/>
      </w:pPr>
      <w:r>
        <w:rPr>
          <w:rFonts w:ascii="Arial" w:cs="Arial" w:eastAsia="Arial" w:hAnsi="Arial"/>
          <w:sz w:val="24"/>
          <w:szCs w:val="24"/>
        </w:rPr>
        <w:t xml:space="preserve">ж) в других случаях, предусмотренных законами Кыргызской Республики.</w:t>
      </w:r>
    </w:p>
    <w:p>
      <w:pPr>
        <w:spacing w:after="120"/>
        <w:jc w:val="both"/>
      </w:pPr>
      <w:r>
        <w:rPr>
          <w:rFonts w:ascii="Arial" w:cs="Arial" w:eastAsia="Arial" w:hAnsi="Arial"/>
          <w:sz w:val="24"/>
          <w:szCs w:val="24"/>
        </w:rPr>
        <w:t xml:space="preserve">Банк не вправе принимать решение о выплате (объявлении) дивидендов по акциям, если на момент принятия решения и выплаты дивидендов он отвечает признакам неплатежеспособности в соответствии с законодательством Кыргызской Республики или указанные признаки появятся у банка в результате выплаты дивидендов.</w:t>
      </w:r>
    </w:p>
    <w:p>
      <w:pPr>
        <w:spacing w:after="120"/>
        <w:jc w:val="both"/>
      </w:pPr>
      <w:r>
        <w:rPr>
          <w:rFonts w:ascii="Arial" w:cs="Arial" w:eastAsia="Arial" w:hAnsi="Arial"/>
          <w:sz w:val="24"/>
          <w:szCs w:val="24"/>
        </w:rPr>
        <w:t xml:space="preserve">Банк не вправе принимать решение о выплате (объявлении) дивидендов по простым акциям, если не принято решение о выплате дивидендов по привилегированным акциям.</w:t>
      </w:r>
    </w:p>
    <w:p>
      <w:pPr>
        <w:spacing w:after="120"/>
        <w:jc w:val="both"/>
      </w:pPr>
      <w:r>
        <w:rPr>
          <w:rFonts w:ascii="Arial" w:cs="Arial" w:eastAsia="Arial" w:hAnsi="Arial"/>
          <w:sz w:val="24"/>
          <w:szCs w:val="24"/>
        </w:rPr>
        <w:t xml:space="preserve">(В редакции постановлений Правления Нацбанка КР от </w:t>
      </w:r>
      <w:hyperlink w:history="1" r:id="rIdhtg_socdmeds3qmpaxxia">
        <w:r>
          <w:rPr>
            <w:rFonts w:ascii="Arial" w:cs="Arial" w:eastAsia="Arial" w:hAnsi="Arial"/>
            <w:color w:val="1D4ED8"/>
            <w:sz w:val="24"/>
            <w:szCs w:val="24"/>
            <w:u w:val="single"/>
          </w:rPr>
          <w:t xml:space="preserve">15 августа 2018 года № 2018-П-12/33-6</w:t>
        </w:r>
      </w:hyperlink>
      <w:r>
        <w:rPr>
          <w:rFonts w:ascii="Arial" w:cs="Arial" w:eastAsia="Arial" w:hAnsi="Arial"/>
          <w:sz w:val="24"/>
          <w:szCs w:val="24"/>
        </w:rPr>
        <w:t xml:space="preserve">, 23 марта 2022 года № 2022-П-12/17-4)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(Утратили силу в соответствии с постановлением Правления Нацбанка КР от 26 апреля 2017 года № 17/13)</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к Инструкции по определению стандартов достаточности (адекватности) капитала коммерческих банков Кыргызской Республики, утвержденной постановлением Правления Национального банка от 21 июля 2004 года N 18/2</w:t>
      </w:r>
    </w:p>
    <w:p>
      <w:pPr>
        <w:spacing w:after="120"/>
        <w:jc w:val="both"/>
      </w:pPr>
      <w:r>
        <w:rPr>
          <w:rFonts w:ascii="Arial" w:cs="Arial" w:eastAsia="Arial" w:hAnsi="Arial"/>
          <w:sz w:val="24"/>
          <w:szCs w:val="24"/>
        </w:rPr>
        <w:t xml:space="preserve">(В редакции постановлений Правления Нацбанка КР от 23 октября 2004 года N 26/3, </w:t>
      </w:r>
      <w:hyperlink w:history="1" r:id="rIdzuth5i4ggyrb4tokx9wll">
        <w:r>
          <w:rPr>
            <w:rFonts w:ascii="Arial" w:cs="Arial" w:eastAsia="Arial" w:hAnsi="Arial"/>
            <w:color w:val="1D4ED8"/>
            <w:sz w:val="24"/>
            <w:szCs w:val="24"/>
            <w:u w:val="single"/>
          </w:rPr>
          <w:t xml:space="preserve">15 июня 2016 года № 25/</w:t>
        </w:r>
      </w:hyperlink>
      <w:r>
        <w:rPr>
          <w:rFonts w:ascii="Arial" w:cs="Arial" w:eastAsia="Arial" w:hAnsi="Arial"/>
          <w:sz w:val="24"/>
          <w:szCs w:val="24"/>
        </w:rPr>
        <w:t xml:space="preserve">1, </w:t>
      </w:r>
      <w:hyperlink w:history="1" r:id="rIdqodysdcqbzbjvje6jzogm">
        <w:r>
          <w:rPr>
            <w:rFonts w:ascii="Arial" w:cs="Arial" w:eastAsia="Arial" w:hAnsi="Arial"/>
            <w:color w:val="1D4ED8"/>
            <w:sz w:val="24"/>
            <w:szCs w:val="24"/>
            <w:u w:val="single"/>
          </w:rPr>
          <w:t xml:space="preserve">15 августа 2018 года № 2018-П-12/33-6</w:t>
        </w:r>
      </w:hyperlink>
      <w:r>
        <w:rPr>
          <w:rFonts w:ascii="Arial" w:cs="Arial" w:eastAsia="Arial" w:hAnsi="Arial"/>
          <w:sz w:val="24"/>
          <w:szCs w:val="24"/>
        </w:rPr>
        <w:t xml:space="preserve">, </w:t>
      </w:r>
      <w:hyperlink w:history="1" r:id="rIdaybx_gvbozv4wyv7_ufra">
        <w:r>
          <w:rPr>
            <w:rFonts w:ascii="Arial" w:cs="Arial" w:eastAsia="Arial" w:hAnsi="Arial"/>
            <w:color w:val="1D4ED8"/>
            <w:sz w:val="24"/>
            <w:szCs w:val="24"/>
            <w:u w:val="single"/>
          </w:rPr>
          <w:t xml:space="preserve">10 апреля 2019 года № 2019-П-12/19-3</w:t>
        </w:r>
      </w:hyperlink>
      <w:r>
        <w:rPr>
          <w:rFonts w:ascii="Arial" w:cs="Arial" w:eastAsia="Arial" w:hAnsi="Arial"/>
          <w:sz w:val="24"/>
          <w:szCs w:val="24"/>
        </w:rPr>
        <w:t xml:space="preserve">, 28 июня 2019 года № 2019-П-12/34-3, 23 декабря 2020 года № 2020-П-12/73-10, </w:t>
      </w:r>
      <w:hyperlink w:history="1" r:id="rIdqpzqvyfqz87osug2iwpre">
        <w:r>
          <w:rPr>
            <w:rFonts w:ascii="Arial" w:cs="Arial" w:eastAsia="Arial" w:hAnsi="Arial"/>
            <w:color w:val="1D4ED8"/>
            <w:sz w:val="24"/>
            <w:szCs w:val="24"/>
            <w:u w:val="single"/>
          </w:rPr>
          <w:t xml:space="preserve">15 сентября 2021 года № 2021-П-12/51-1</w:t>
        </w:r>
      </w:hyperlink>
      <w:r>
        <w:rPr>
          <w:rFonts w:ascii="Arial" w:cs="Arial" w:eastAsia="Arial" w:hAnsi="Arial"/>
          <w:sz w:val="24"/>
          <w:szCs w:val="24"/>
        </w:rPr>
        <w:t xml:space="preserve">, </w:t>
      </w:r>
      <w:hyperlink w:history="1" r:id="rId3djrzrzmmey0gdtqpcee5">
        <w:r>
          <w:rPr>
            <w:rFonts w:ascii="Arial" w:cs="Arial" w:eastAsia="Arial" w:hAnsi="Arial"/>
            <w:color w:val="1D4ED8"/>
            <w:sz w:val="24"/>
            <w:szCs w:val="24"/>
            <w:u w:val="single"/>
          </w:rPr>
          <w:t xml:space="preserve">15 декабря 2021 года № 2021-П-12/70-3</w:t>
        </w:r>
      </w:hyperlink>
      <w:r>
        <w:rPr>
          <w:rFonts w:ascii="Arial" w:cs="Arial" w:eastAsia="Arial" w:hAnsi="Arial"/>
          <w:sz w:val="24"/>
          <w:szCs w:val="24"/>
        </w:rPr>
        <w:t xml:space="preserve">, </w:t>
      </w:r>
      <w:hyperlink w:history="1" r:id="rIdacdmo-olgwppnvc0joeqq">
        <w:r>
          <w:rPr>
            <w:rFonts w:ascii="Arial" w:cs="Arial" w:eastAsia="Arial" w:hAnsi="Arial"/>
            <w:color w:val="1D4ED8"/>
            <w:sz w:val="24"/>
            <w:szCs w:val="24"/>
            <w:u w:val="single"/>
          </w:rPr>
          <w:t xml:space="preserve">23 марта 2022 года № 2022-П-12/17-6</w:t>
        </w:r>
      </w:hyperlink>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Активы</w:t>
      </w:r>
    </w:p>
    <w:p>
      <w:pPr>
        <w:spacing w:after="120"/>
        <w:jc w:val="right"/>
      </w:pPr>
      <w:r>
        <w:rPr>
          <w:rFonts w:ascii="Arial" w:cs="Arial" w:eastAsia="Arial" w:hAnsi="Arial"/>
          <w:sz w:val="24"/>
          <w:szCs w:val="24"/>
        </w:rPr>
        <w:t xml:space="preserve">(тыс.сом)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19"/>
        <w:gridCol w:w="5386"/>
        <w:gridCol w:w="1026"/>
        <w:gridCol w:w="1490"/>
        <w:gridCol w:w="1657"/>
      </w:tblGrid>
      <w:tr>
        <w:tc>
          <w:tcPr>
            <w:tcW w:type="dxa" w:w="61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N</w:t>
            </w:r>
          </w:p>
        </w:tc>
        <w:tc>
          <w:tcPr>
            <w:tcW w:type="dxa" w:w="538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Статьи</w:t>
            </w:r>
          </w:p>
        </w:tc>
        <w:tc>
          <w:tcPr>
            <w:tcW w:type="dxa" w:w="102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балансу</w:t>
            </w:r>
          </w:p>
        </w:tc>
        <w:tc>
          <w:tcPr>
            <w:tcW w:type="dxa" w:w="149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Кредитный риск, %</w:t>
            </w:r>
          </w:p>
        </w:tc>
        <w:tc>
          <w:tcPr>
            <w:tcW w:type="dxa" w:w="165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Взвешенное значение</w:t>
            </w:r>
          </w:p>
        </w:tc>
      </w:tr>
      <w:tr>
        <w:tc>
          <w:tcPr>
            <w:tcW w:type="dxa" w:w="61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10</w:t>
            </w:r>
          </w:p>
        </w:tc>
        <w:tc>
          <w:tcPr>
            <w:tcW w:type="dxa" w:w="538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Банкноты и монеты</w:t>
            </w:r>
          </w:p>
        </w:tc>
        <w:tc>
          <w:tcPr>
            <w:tcW w:type="dxa" w:w="102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w:t>
            </w:r>
          </w:p>
        </w:tc>
        <w:tc>
          <w:tcPr>
            <w:tcW w:type="dxa" w:w="14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65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w:t>
            </w:r>
          </w:p>
        </w:tc>
      </w:tr>
      <w:tr>
        <w:tc>
          <w:tcPr>
            <w:tcW w:type="dxa" w:w="61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10.1</w:t>
            </w:r>
          </w:p>
        </w:tc>
        <w:tc>
          <w:tcPr>
            <w:tcW w:type="dxa" w:w="538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2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w:t>
            </w:r>
          </w:p>
        </w:tc>
        <w:tc>
          <w:tcPr>
            <w:tcW w:type="dxa" w:w="165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61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10.2</w:t>
            </w:r>
          </w:p>
        </w:tc>
        <w:tc>
          <w:tcPr>
            <w:tcW w:type="dxa" w:w="538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2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10%</w:t>
            </w:r>
          </w:p>
        </w:tc>
        <w:tc>
          <w:tcPr>
            <w:tcW w:type="dxa" w:w="165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w:t>
            </w:r>
          </w:p>
        </w:tc>
      </w:tr>
      <w:tr>
        <w:tc>
          <w:tcPr>
            <w:tcW w:type="dxa" w:w="61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10.3</w:t>
            </w:r>
          </w:p>
        </w:tc>
        <w:tc>
          <w:tcPr>
            <w:tcW w:type="dxa" w:w="538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2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20%</w:t>
            </w:r>
          </w:p>
        </w:tc>
        <w:tc>
          <w:tcPr>
            <w:tcW w:type="dxa" w:w="165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w:t>
            </w:r>
          </w:p>
        </w:tc>
      </w:tr>
      <w:tr>
        <w:tc>
          <w:tcPr>
            <w:tcW w:type="dxa" w:w="61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10.4</w:t>
            </w:r>
          </w:p>
        </w:tc>
        <w:tc>
          <w:tcPr>
            <w:tcW w:type="dxa" w:w="538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2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50%</w:t>
            </w:r>
          </w:p>
        </w:tc>
        <w:tc>
          <w:tcPr>
            <w:tcW w:type="dxa" w:w="165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w:t>
            </w:r>
          </w:p>
        </w:tc>
      </w:tr>
      <w:tr>
        <w:tc>
          <w:tcPr>
            <w:tcW w:type="dxa" w:w="61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10.5</w:t>
            </w:r>
          </w:p>
        </w:tc>
        <w:tc>
          <w:tcPr>
            <w:tcW w:type="dxa" w:w="538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2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100%</w:t>
            </w:r>
          </w:p>
        </w:tc>
        <w:tc>
          <w:tcPr>
            <w:tcW w:type="dxa" w:w="165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w:t>
            </w:r>
          </w:p>
        </w:tc>
      </w:tr>
      <w:tr>
        <w:tc>
          <w:tcPr>
            <w:tcW w:type="dxa" w:w="61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20</w:t>
            </w:r>
          </w:p>
        </w:tc>
        <w:tc>
          <w:tcPr>
            <w:tcW w:type="dxa" w:w="538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Денежные активы в расчетах</w:t>
            </w:r>
          </w:p>
        </w:tc>
        <w:tc>
          <w:tcPr>
            <w:tcW w:type="dxa" w:w="102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w:t>
            </w:r>
          </w:p>
        </w:tc>
        <w:tc>
          <w:tcPr>
            <w:tcW w:type="dxa" w:w="14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65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w:t>
            </w:r>
          </w:p>
        </w:tc>
      </w:tr>
      <w:tr>
        <w:tc>
          <w:tcPr>
            <w:tcW w:type="dxa" w:w="61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20.1</w:t>
            </w:r>
          </w:p>
        </w:tc>
        <w:tc>
          <w:tcPr>
            <w:tcW w:type="dxa" w:w="538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2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w:t>
            </w:r>
          </w:p>
        </w:tc>
        <w:tc>
          <w:tcPr>
            <w:tcW w:type="dxa" w:w="165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61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20.2</w:t>
            </w:r>
          </w:p>
        </w:tc>
        <w:tc>
          <w:tcPr>
            <w:tcW w:type="dxa" w:w="538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2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10%</w:t>
            </w:r>
          </w:p>
        </w:tc>
        <w:tc>
          <w:tcPr>
            <w:tcW w:type="dxa" w:w="165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w:t>
            </w:r>
          </w:p>
        </w:tc>
      </w:tr>
      <w:tr>
        <w:tc>
          <w:tcPr>
            <w:tcW w:type="dxa" w:w="61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20.3</w:t>
            </w:r>
          </w:p>
        </w:tc>
        <w:tc>
          <w:tcPr>
            <w:tcW w:type="dxa" w:w="538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2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20%</w:t>
            </w:r>
          </w:p>
        </w:tc>
        <w:tc>
          <w:tcPr>
            <w:tcW w:type="dxa" w:w="165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w:t>
            </w:r>
          </w:p>
        </w:tc>
      </w:tr>
      <w:tr>
        <w:tc>
          <w:tcPr>
            <w:tcW w:type="dxa" w:w="61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20.4</w:t>
            </w:r>
          </w:p>
        </w:tc>
        <w:tc>
          <w:tcPr>
            <w:tcW w:type="dxa" w:w="538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2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50%</w:t>
            </w:r>
          </w:p>
        </w:tc>
        <w:tc>
          <w:tcPr>
            <w:tcW w:type="dxa" w:w="165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w:t>
            </w:r>
          </w:p>
        </w:tc>
      </w:tr>
      <w:tr>
        <w:tc>
          <w:tcPr>
            <w:tcW w:type="dxa" w:w="61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20.5</w:t>
            </w:r>
          </w:p>
        </w:tc>
        <w:tc>
          <w:tcPr>
            <w:tcW w:type="dxa" w:w="538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2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100%</w:t>
            </w:r>
          </w:p>
        </w:tc>
        <w:tc>
          <w:tcPr>
            <w:tcW w:type="dxa" w:w="165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w:t>
            </w:r>
          </w:p>
        </w:tc>
      </w:tr>
      <w:tr>
        <w:tc>
          <w:tcPr>
            <w:tcW w:type="dxa" w:w="61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30</w:t>
            </w:r>
          </w:p>
        </w:tc>
        <w:tc>
          <w:tcPr>
            <w:tcW w:type="dxa" w:w="538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Корреспондентский счет в Национальном банке</w:t>
            </w:r>
          </w:p>
        </w:tc>
        <w:tc>
          <w:tcPr>
            <w:tcW w:type="dxa" w:w="102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w:t>
            </w:r>
          </w:p>
        </w:tc>
        <w:tc>
          <w:tcPr>
            <w:tcW w:type="dxa" w:w="165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61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40</w:t>
            </w:r>
          </w:p>
        </w:tc>
        <w:tc>
          <w:tcPr>
            <w:tcW w:type="dxa" w:w="538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Корреспондентские счета в коммерческих банках Кыргызской Республики</w:t>
            </w:r>
          </w:p>
        </w:tc>
        <w:tc>
          <w:tcPr>
            <w:tcW w:type="dxa" w:w="102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w:t>
            </w:r>
          </w:p>
        </w:tc>
        <w:tc>
          <w:tcPr>
            <w:tcW w:type="dxa" w:w="14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65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w:t>
            </w:r>
          </w:p>
        </w:tc>
      </w:tr>
      <w:tr>
        <w:tc>
          <w:tcPr>
            <w:tcW w:type="dxa" w:w="61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40.1</w:t>
            </w:r>
          </w:p>
        </w:tc>
        <w:tc>
          <w:tcPr>
            <w:tcW w:type="dxa" w:w="538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2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w:t>
            </w:r>
          </w:p>
        </w:tc>
        <w:tc>
          <w:tcPr>
            <w:tcW w:type="dxa" w:w="165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61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40.2</w:t>
            </w:r>
          </w:p>
        </w:tc>
        <w:tc>
          <w:tcPr>
            <w:tcW w:type="dxa" w:w="538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2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10%</w:t>
            </w:r>
          </w:p>
        </w:tc>
        <w:tc>
          <w:tcPr>
            <w:tcW w:type="dxa" w:w="165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w:t>
            </w:r>
          </w:p>
        </w:tc>
      </w:tr>
      <w:tr>
        <w:tc>
          <w:tcPr>
            <w:tcW w:type="dxa" w:w="61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40.3</w:t>
            </w:r>
          </w:p>
        </w:tc>
        <w:tc>
          <w:tcPr>
            <w:tcW w:type="dxa" w:w="538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2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20%</w:t>
            </w:r>
          </w:p>
        </w:tc>
        <w:tc>
          <w:tcPr>
            <w:tcW w:type="dxa" w:w="165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w:t>
            </w:r>
          </w:p>
        </w:tc>
      </w:tr>
      <w:tr>
        <w:tc>
          <w:tcPr>
            <w:tcW w:type="dxa" w:w="61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40.4</w:t>
            </w:r>
          </w:p>
        </w:tc>
        <w:tc>
          <w:tcPr>
            <w:tcW w:type="dxa" w:w="538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2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50%</w:t>
            </w:r>
          </w:p>
        </w:tc>
        <w:tc>
          <w:tcPr>
            <w:tcW w:type="dxa" w:w="165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w:t>
            </w:r>
          </w:p>
        </w:tc>
      </w:tr>
      <w:tr>
        <w:tc>
          <w:tcPr>
            <w:tcW w:type="dxa" w:w="61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40.5</w:t>
            </w:r>
          </w:p>
        </w:tc>
        <w:tc>
          <w:tcPr>
            <w:tcW w:type="dxa" w:w="538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2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100%</w:t>
            </w:r>
          </w:p>
        </w:tc>
        <w:tc>
          <w:tcPr>
            <w:tcW w:type="dxa" w:w="165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w:t>
            </w:r>
          </w:p>
        </w:tc>
      </w:tr>
      <w:tr>
        <w:tc>
          <w:tcPr>
            <w:tcW w:type="dxa" w:w="61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50</w:t>
            </w:r>
          </w:p>
        </w:tc>
        <w:tc>
          <w:tcPr>
            <w:tcW w:type="dxa" w:w="538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Корреспондентские счета в коммерческих банках стран СНГ</w:t>
            </w:r>
          </w:p>
        </w:tc>
        <w:tc>
          <w:tcPr>
            <w:tcW w:type="dxa" w:w="102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w:t>
            </w:r>
          </w:p>
        </w:tc>
        <w:tc>
          <w:tcPr>
            <w:tcW w:type="dxa" w:w="14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65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w:t>
            </w:r>
          </w:p>
        </w:tc>
      </w:tr>
      <w:tr>
        <w:tc>
          <w:tcPr>
            <w:tcW w:type="dxa" w:w="61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50.1</w:t>
            </w:r>
          </w:p>
        </w:tc>
        <w:tc>
          <w:tcPr>
            <w:tcW w:type="dxa" w:w="538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2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w:t>
            </w:r>
          </w:p>
        </w:tc>
        <w:tc>
          <w:tcPr>
            <w:tcW w:type="dxa" w:w="165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61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50.2</w:t>
            </w:r>
          </w:p>
        </w:tc>
        <w:tc>
          <w:tcPr>
            <w:tcW w:type="dxa" w:w="538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2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10%</w:t>
            </w:r>
          </w:p>
        </w:tc>
        <w:tc>
          <w:tcPr>
            <w:tcW w:type="dxa" w:w="165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w:t>
            </w:r>
          </w:p>
        </w:tc>
      </w:tr>
      <w:tr>
        <w:tc>
          <w:tcPr>
            <w:tcW w:type="dxa" w:w="61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50.3</w:t>
            </w:r>
          </w:p>
        </w:tc>
        <w:tc>
          <w:tcPr>
            <w:tcW w:type="dxa" w:w="538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2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20%</w:t>
            </w:r>
          </w:p>
        </w:tc>
        <w:tc>
          <w:tcPr>
            <w:tcW w:type="dxa" w:w="165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w:t>
            </w:r>
          </w:p>
        </w:tc>
      </w:tr>
      <w:tr>
        <w:tc>
          <w:tcPr>
            <w:tcW w:type="dxa" w:w="61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50.4</w:t>
            </w:r>
          </w:p>
        </w:tc>
        <w:tc>
          <w:tcPr>
            <w:tcW w:type="dxa" w:w="538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2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50%</w:t>
            </w:r>
          </w:p>
        </w:tc>
        <w:tc>
          <w:tcPr>
            <w:tcW w:type="dxa" w:w="165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w:t>
            </w:r>
          </w:p>
        </w:tc>
      </w:tr>
      <w:tr>
        <w:tc>
          <w:tcPr>
            <w:tcW w:type="dxa" w:w="61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50.5</w:t>
            </w:r>
          </w:p>
        </w:tc>
        <w:tc>
          <w:tcPr>
            <w:tcW w:type="dxa" w:w="538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2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100%</w:t>
            </w:r>
          </w:p>
        </w:tc>
        <w:tc>
          <w:tcPr>
            <w:tcW w:type="dxa" w:w="165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w:t>
            </w:r>
          </w:p>
        </w:tc>
      </w:tr>
      <w:tr>
        <w:tc>
          <w:tcPr>
            <w:tcW w:type="dxa" w:w="61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60</w:t>
            </w:r>
          </w:p>
        </w:tc>
        <w:tc>
          <w:tcPr>
            <w:tcW w:type="dxa" w:w="538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Корреспондентские счета в иностранных банках, кроме стран СНГ</w:t>
            </w:r>
          </w:p>
        </w:tc>
        <w:tc>
          <w:tcPr>
            <w:tcW w:type="dxa" w:w="102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w:t>
            </w:r>
          </w:p>
        </w:tc>
        <w:tc>
          <w:tcPr>
            <w:tcW w:type="dxa" w:w="14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65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w:t>
            </w:r>
          </w:p>
        </w:tc>
      </w:tr>
      <w:tr>
        <w:tc>
          <w:tcPr>
            <w:tcW w:type="dxa" w:w="61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60.1</w:t>
            </w:r>
          </w:p>
        </w:tc>
        <w:tc>
          <w:tcPr>
            <w:tcW w:type="dxa" w:w="538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2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w:t>
            </w:r>
          </w:p>
        </w:tc>
        <w:tc>
          <w:tcPr>
            <w:tcW w:type="dxa" w:w="165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61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60.2</w:t>
            </w:r>
          </w:p>
        </w:tc>
        <w:tc>
          <w:tcPr>
            <w:tcW w:type="dxa" w:w="538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2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10%</w:t>
            </w:r>
          </w:p>
        </w:tc>
        <w:tc>
          <w:tcPr>
            <w:tcW w:type="dxa" w:w="165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w:t>
            </w:r>
          </w:p>
        </w:tc>
      </w:tr>
      <w:tr>
        <w:tc>
          <w:tcPr>
            <w:tcW w:type="dxa" w:w="61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60.3</w:t>
            </w:r>
          </w:p>
        </w:tc>
        <w:tc>
          <w:tcPr>
            <w:tcW w:type="dxa" w:w="538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2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20%</w:t>
            </w:r>
          </w:p>
        </w:tc>
        <w:tc>
          <w:tcPr>
            <w:tcW w:type="dxa" w:w="165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w:t>
            </w:r>
          </w:p>
        </w:tc>
      </w:tr>
      <w:tr>
        <w:tc>
          <w:tcPr>
            <w:tcW w:type="dxa" w:w="61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60.4</w:t>
            </w:r>
          </w:p>
        </w:tc>
        <w:tc>
          <w:tcPr>
            <w:tcW w:type="dxa" w:w="538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2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50%</w:t>
            </w:r>
          </w:p>
        </w:tc>
        <w:tc>
          <w:tcPr>
            <w:tcW w:type="dxa" w:w="165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w:t>
            </w:r>
          </w:p>
        </w:tc>
      </w:tr>
      <w:tr>
        <w:tc>
          <w:tcPr>
            <w:tcW w:type="dxa" w:w="61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60.5</w:t>
            </w:r>
          </w:p>
        </w:tc>
        <w:tc>
          <w:tcPr>
            <w:tcW w:type="dxa" w:w="538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2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100%</w:t>
            </w:r>
          </w:p>
        </w:tc>
        <w:tc>
          <w:tcPr>
            <w:tcW w:type="dxa" w:w="165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w:t>
            </w:r>
          </w:p>
        </w:tc>
      </w:tr>
      <w:tr>
        <w:tc>
          <w:tcPr>
            <w:tcW w:type="dxa" w:w="61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70</w:t>
            </w:r>
          </w:p>
        </w:tc>
        <w:tc>
          <w:tcPr>
            <w:tcW w:type="dxa" w:w="538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Золото и другие драгоценные металлы</w:t>
            </w:r>
          </w:p>
        </w:tc>
        <w:tc>
          <w:tcPr>
            <w:tcW w:type="dxa" w:w="102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w:t>
            </w:r>
          </w:p>
        </w:tc>
        <w:tc>
          <w:tcPr>
            <w:tcW w:type="dxa" w:w="14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65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w:t>
            </w:r>
          </w:p>
        </w:tc>
      </w:tr>
      <w:tr>
        <w:tc>
          <w:tcPr>
            <w:tcW w:type="dxa" w:w="61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70.1</w:t>
            </w:r>
          </w:p>
        </w:tc>
        <w:tc>
          <w:tcPr>
            <w:tcW w:type="dxa" w:w="538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2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w:t>
            </w:r>
          </w:p>
        </w:tc>
        <w:tc>
          <w:tcPr>
            <w:tcW w:type="dxa" w:w="165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61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70.2</w:t>
            </w:r>
          </w:p>
        </w:tc>
        <w:tc>
          <w:tcPr>
            <w:tcW w:type="dxa" w:w="538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2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10%</w:t>
            </w:r>
          </w:p>
        </w:tc>
        <w:tc>
          <w:tcPr>
            <w:tcW w:type="dxa" w:w="165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w:t>
            </w:r>
          </w:p>
        </w:tc>
      </w:tr>
      <w:tr>
        <w:tc>
          <w:tcPr>
            <w:tcW w:type="dxa" w:w="61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70.3</w:t>
            </w:r>
          </w:p>
        </w:tc>
        <w:tc>
          <w:tcPr>
            <w:tcW w:type="dxa" w:w="538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2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20%</w:t>
            </w:r>
          </w:p>
        </w:tc>
        <w:tc>
          <w:tcPr>
            <w:tcW w:type="dxa" w:w="165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w:t>
            </w:r>
          </w:p>
        </w:tc>
      </w:tr>
      <w:tr>
        <w:tc>
          <w:tcPr>
            <w:tcW w:type="dxa" w:w="61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70.4</w:t>
            </w:r>
          </w:p>
        </w:tc>
        <w:tc>
          <w:tcPr>
            <w:tcW w:type="dxa" w:w="538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2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50%</w:t>
            </w:r>
          </w:p>
        </w:tc>
        <w:tc>
          <w:tcPr>
            <w:tcW w:type="dxa" w:w="165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w:t>
            </w:r>
          </w:p>
        </w:tc>
      </w:tr>
      <w:tr>
        <w:tc>
          <w:tcPr>
            <w:tcW w:type="dxa" w:w="61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70.5</w:t>
            </w:r>
          </w:p>
        </w:tc>
        <w:tc>
          <w:tcPr>
            <w:tcW w:type="dxa" w:w="538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2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100%</w:t>
            </w:r>
          </w:p>
        </w:tc>
        <w:tc>
          <w:tcPr>
            <w:tcW w:type="dxa" w:w="165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w:t>
            </w:r>
          </w:p>
        </w:tc>
      </w:tr>
      <w:tr>
        <w:tc>
          <w:tcPr>
            <w:tcW w:type="dxa" w:w="61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80</w:t>
            </w:r>
          </w:p>
        </w:tc>
        <w:tc>
          <w:tcPr>
            <w:tcW w:type="dxa" w:w="538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Межбанковские депозиты в коммерческих банках Кыргызской Республики</w:t>
            </w:r>
          </w:p>
        </w:tc>
        <w:tc>
          <w:tcPr>
            <w:tcW w:type="dxa" w:w="102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w:t>
            </w:r>
          </w:p>
        </w:tc>
        <w:tc>
          <w:tcPr>
            <w:tcW w:type="dxa" w:w="14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65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w:t>
            </w:r>
          </w:p>
        </w:tc>
      </w:tr>
      <w:tr>
        <w:tc>
          <w:tcPr>
            <w:tcW w:type="dxa" w:w="61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80.1</w:t>
            </w:r>
          </w:p>
        </w:tc>
        <w:tc>
          <w:tcPr>
            <w:tcW w:type="dxa" w:w="538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2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w:t>
            </w:r>
          </w:p>
        </w:tc>
        <w:tc>
          <w:tcPr>
            <w:tcW w:type="dxa" w:w="165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61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80.2</w:t>
            </w:r>
          </w:p>
        </w:tc>
        <w:tc>
          <w:tcPr>
            <w:tcW w:type="dxa" w:w="538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2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10%</w:t>
            </w:r>
          </w:p>
        </w:tc>
        <w:tc>
          <w:tcPr>
            <w:tcW w:type="dxa" w:w="165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w:t>
            </w:r>
          </w:p>
        </w:tc>
      </w:tr>
      <w:tr>
        <w:tc>
          <w:tcPr>
            <w:tcW w:type="dxa" w:w="61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80.3</w:t>
            </w:r>
          </w:p>
        </w:tc>
        <w:tc>
          <w:tcPr>
            <w:tcW w:type="dxa" w:w="538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2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20%</w:t>
            </w:r>
          </w:p>
        </w:tc>
        <w:tc>
          <w:tcPr>
            <w:tcW w:type="dxa" w:w="165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w:t>
            </w:r>
          </w:p>
        </w:tc>
      </w:tr>
      <w:tr>
        <w:tc>
          <w:tcPr>
            <w:tcW w:type="dxa" w:w="61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80.4</w:t>
            </w:r>
          </w:p>
        </w:tc>
        <w:tc>
          <w:tcPr>
            <w:tcW w:type="dxa" w:w="538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2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50%</w:t>
            </w:r>
          </w:p>
        </w:tc>
        <w:tc>
          <w:tcPr>
            <w:tcW w:type="dxa" w:w="165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w:t>
            </w:r>
          </w:p>
        </w:tc>
      </w:tr>
      <w:tr>
        <w:tc>
          <w:tcPr>
            <w:tcW w:type="dxa" w:w="61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80.5</w:t>
            </w:r>
          </w:p>
        </w:tc>
        <w:tc>
          <w:tcPr>
            <w:tcW w:type="dxa" w:w="538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2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100%</w:t>
            </w:r>
          </w:p>
        </w:tc>
        <w:tc>
          <w:tcPr>
            <w:tcW w:type="dxa" w:w="165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w:t>
            </w:r>
          </w:p>
        </w:tc>
      </w:tr>
      <w:tr>
        <w:tc>
          <w:tcPr>
            <w:tcW w:type="dxa" w:w="61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90</w:t>
            </w:r>
          </w:p>
        </w:tc>
        <w:tc>
          <w:tcPr>
            <w:tcW w:type="dxa" w:w="538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Межбанковские депозиты в банках и финансовых организациях стран СНГ</w:t>
            </w:r>
          </w:p>
        </w:tc>
        <w:tc>
          <w:tcPr>
            <w:tcW w:type="dxa" w:w="102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w:t>
            </w:r>
          </w:p>
        </w:tc>
        <w:tc>
          <w:tcPr>
            <w:tcW w:type="dxa" w:w="14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65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w:t>
            </w:r>
          </w:p>
        </w:tc>
      </w:tr>
      <w:tr>
        <w:tc>
          <w:tcPr>
            <w:tcW w:type="dxa" w:w="61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90.1</w:t>
            </w:r>
          </w:p>
        </w:tc>
        <w:tc>
          <w:tcPr>
            <w:tcW w:type="dxa" w:w="538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2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w:t>
            </w:r>
          </w:p>
        </w:tc>
        <w:tc>
          <w:tcPr>
            <w:tcW w:type="dxa" w:w="165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61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90.2</w:t>
            </w:r>
          </w:p>
        </w:tc>
        <w:tc>
          <w:tcPr>
            <w:tcW w:type="dxa" w:w="538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2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10%</w:t>
            </w:r>
          </w:p>
        </w:tc>
        <w:tc>
          <w:tcPr>
            <w:tcW w:type="dxa" w:w="165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w:t>
            </w:r>
          </w:p>
        </w:tc>
      </w:tr>
      <w:tr>
        <w:tc>
          <w:tcPr>
            <w:tcW w:type="dxa" w:w="61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90.3</w:t>
            </w:r>
          </w:p>
        </w:tc>
        <w:tc>
          <w:tcPr>
            <w:tcW w:type="dxa" w:w="538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2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20%</w:t>
            </w:r>
          </w:p>
        </w:tc>
        <w:tc>
          <w:tcPr>
            <w:tcW w:type="dxa" w:w="165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w:t>
            </w:r>
          </w:p>
        </w:tc>
      </w:tr>
      <w:tr>
        <w:tc>
          <w:tcPr>
            <w:tcW w:type="dxa" w:w="61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90.4</w:t>
            </w:r>
          </w:p>
        </w:tc>
        <w:tc>
          <w:tcPr>
            <w:tcW w:type="dxa" w:w="538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2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50%</w:t>
            </w:r>
          </w:p>
        </w:tc>
        <w:tc>
          <w:tcPr>
            <w:tcW w:type="dxa" w:w="165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w:t>
            </w:r>
          </w:p>
        </w:tc>
      </w:tr>
      <w:tr>
        <w:tc>
          <w:tcPr>
            <w:tcW w:type="dxa" w:w="61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90.5</w:t>
            </w:r>
          </w:p>
        </w:tc>
        <w:tc>
          <w:tcPr>
            <w:tcW w:type="dxa" w:w="538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2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100%</w:t>
            </w:r>
          </w:p>
        </w:tc>
        <w:tc>
          <w:tcPr>
            <w:tcW w:type="dxa" w:w="165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w:t>
            </w:r>
          </w:p>
        </w:tc>
      </w:tr>
      <w:tr>
        <w:tc>
          <w:tcPr>
            <w:tcW w:type="dxa" w:w="61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100</w:t>
            </w:r>
          </w:p>
        </w:tc>
        <w:tc>
          <w:tcPr>
            <w:tcW w:type="dxa" w:w="538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Межбанковские депозиты в иностранных банках и финансовых организациях, кроме стран СНГ</w:t>
            </w:r>
          </w:p>
        </w:tc>
        <w:tc>
          <w:tcPr>
            <w:tcW w:type="dxa" w:w="102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w:t>
            </w:r>
          </w:p>
        </w:tc>
        <w:tc>
          <w:tcPr>
            <w:tcW w:type="dxa" w:w="14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65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w:t>
            </w:r>
          </w:p>
        </w:tc>
      </w:tr>
      <w:tr>
        <w:tc>
          <w:tcPr>
            <w:tcW w:type="dxa" w:w="61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100.1</w:t>
            </w:r>
          </w:p>
        </w:tc>
        <w:tc>
          <w:tcPr>
            <w:tcW w:type="dxa" w:w="538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2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w:t>
            </w:r>
          </w:p>
        </w:tc>
        <w:tc>
          <w:tcPr>
            <w:tcW w:type="dxa" w:w="165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61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100.2</w:t>
            </w:r>
          </w:p>
        </w:tc>
        <w:tc>
          <w:tcPr>
            <w:tcW w:type="dxa" w:w="538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2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10%</w:t>
            </w:r>
          </w:p>
        </w:tc>
        <w:tc>
          <w:tcPr>
            <w:tcW w:type="dxa" w:w="165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w:t>
            </w:r>
          </w:p>
        </w:tc>
      </w:tr>
      <w:tr>
        <w:tc>
          <w:tcPr>
            <w:tcW w:type="dxa" w:w="61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100.3</w:t>
            </w:r>
          </w:p>
        </w:tc>
        <w:tc>
          <w:tcPr>
            <w:tcW w:type="dxa" w:w="538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2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20%</w:t>
            </w:r>
          </w:p>
        </w:tc>
        <w:tc>
          <w:tcPr>
            <w:tcW w:type="dxa" w:w="165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w:t>
            </w:r>
          </w:p>
        </w:tc>
      </w:tr>
      <w:tr>
        <w:tc>
          <w:tcPr>
            <w:tcW w:type="dxa" w:w="61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100.4</w:t>
            </w:r>
          </w:p>
        </w:tc>
        <w:tc>
          <w:tcPr>
            <w:tcW w:type="dxa" w:w="538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2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50%</w:t>
            </w:r>
          </w:p>
        </w:tc>
        <w:tc>
          <w:tcPr>
            <w:tcW w:type="dxa" w:w="165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w:t>
            </w:r>
          </w:p>
        </w:tc>
      </w:tr>
      <w:tr>
        <w:tc>
          <w:tcPr>
            <w:tcW w:type="dxa" w:w="61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100.5</w:t>
            </w:r>
          </w:p>
        </w:tc>
        <w:tc>
          <w:tcPr>
            <w:tcW w:type="dxa" w:w="538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2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100%</w:t>
            </w:r>
          </w:p>
        </w:tc>
        <w:tc>
          <w:tcPr>
            <w:tcW w:type="dxa" w:w="165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w:t>
            </w:r>
          </w:p>
        </w:tc>
      </w:tr>
      <w:tr>
        <w:tc>
          <w:tcPr>
            <w:tcW w:type="dxa" w:w="61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110</w:t>
            </w:r>
          </w:p>
        </w:tc>
        <w:tc>
          <w:tcPr>
            <w:tcW w:type="dxa" w:w="538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Краткосрочные межбанковские размещения до 7 дней</w:t>
            </w:r>
          </w:p>
        </w:tc>
        <w:tc>
          <w:tcPr>
            <w:tcW w:type="dxa" w:w="102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w:t>
            </w:r>
          </w:p>
        </w:tc>
        <w:tc>
          <w:tcPr>
            <w:tcW w:type="dxa" w:w="14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65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w:t>
            </w:r>
          </w:p>
        </w:tc>
      </w:tr>
      <w:tr>
        <w:tc>
          <w:tcPr>
            <w:tcW w:type="dxa" w:w="61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110.1</w:t>
            </w:r>
          </w:p>
        </w:tc>
        <w:tc>
          <w:tcPr>
            <w:tcW w:type="dxa" w:w="538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2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w:t>
            </w:r>
          </w:p>
        </w:tc>
        <w:tc>
          <w:tcPr>
            <w:tcW w:type="dxa" w:w="165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61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110.2</w:t>
            </w:r>
          </w:p>
        </w:tc>
        <w:tc>
          <w:tcPr>
            <w:tcW w:type="dxa" w:w="538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2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10%</w:t>
            </w:r>
          </w:p>
        </w:tc>
        <w:tc>
          <w:tcPr>
            <w:tcW w:type="dxa" w:w="165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w:t>
            </w:r>
          </w:p>
        </w:tc>
      </w:tr>
      <w:tr>
        <w:tc>
          <w:tcPr>
            <w:tcW w:type="dxa" w:w="61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110.3</w:t>
            </w:r>
          </w:p>
        </w:tc>
        <w:tc>
          <w:tcPr>
            <w:tcW w:type="dxa" w:w="538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2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20%</w:t>
            </w:r>
          </w:p>
        </w:tc>
        <w:tc>
          <w:tcPr>
            <w:tcW w:type="dxa" w:w="165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w:t>
            </w:r>
          </w:p>
        </w:tc>
      </w:tr>
      <w:tr>
        <w:tc>
          <w:tcPr>
            <w:tcW w:type="dxa" w:w="61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110.4</w:t>
            </w:r>
          </w:p>
        </w:tc>
        <w:tc>
          <w:tcPr>
            <w:tcW w:type="dxa" w:w="538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2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50%</w:t>
            </w:r>
          </w:p>
        </w:tc>
        <w:tc>
          <w:tcPr>
            <w:tcW w:type="dxa" w:w="165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w:t>
            </w:r>
          </w:p>
        </w:tc>
      </w:tr>
      <w:tr>
        <w:tc>
          <w:tcPr>
            <w:tcW w:type="dxa" w:w="61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110.5</w:t>
            </w:r>
          </w:p>
        </w:tc>
        <w:tc>
          <w:tcPr>
            <w:tcW w:type="dxa" w:w="538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2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100%</w:t>
            </w:r>
          </w:p>
        </w:tc>
        <w:tc>
          <w:tcPr>
            <w:tcW w:type="dxa" w:w="165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w:t>
            </w:r>
          </w:p>
        </w:tc>
      </w:tr>
      <w:tr>
        <w:tc>
          <w:tcPr>
            <w:tcW w:type="dxa" w:w="61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120</w:t>
            </w:r>
          </w:p>
        </w:tc>
        <w:tc>
          <w:tcPr>
            <w:tcW w:type="dxa" w:w="538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Операции по РЕПО-соглашениям</w:t>
            </w:r>
          </w:p>
        </w:tc>
        <w:tc>
          <w:tcPr>
            <w:tcW w:type="dxa" w:w="102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w:t>
            </w:r>
          </w:p>
        </w:tc>
        <w:tc>
          <w:tcPr>
            <w:tcW w:type="dxa" w:w="14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65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w:t>
            </w:r>
          </w:p>
        </w:tc>
      </w:tr>
      <w:tr>
        <w:tc>
          <w:tcPr>
            <w:tcW w:type="dxa" w:w="61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120.1</w:t>
            </w:r>
          </w:p>
        </w:tc>
        <w:tc>
          <w:tcPr>
            <w:tcW w:type="dxa" w:w="538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2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w:t>
            </w:r>
          </w:p>
        </w:tc>
        <w:tc>
          <w:tcPr>
            <w:tcW w:type="dxa" w:w="165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61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120.2</w:t>
            </w:r>
          </w:p>
        </w:tc>
        <w:tc>
          <w:tcPr>
            <w:tcW w:type="dxa" w:w="538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2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10%</w:t>
            </w:r>
          </w:p>
        </w:tc>
        <w:tc>
          <w:tcPr>
            <w:tcW w:type="dxa" w:w="165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w:t>
            </w:r>
          </w:p>
        </w:tc>
      </w:tr>
      <w:tr>
        <w:tc>
          <w:tcPr>
            <w:tcW w:type="dxa" w:w="61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120.3</w:t>
            </w:r>
          </w:p>
        </w:tc>
        <w:tc>
          <w:tcPr>
            <w:tcW w:type="dxa" w:w="538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2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20%</w:t>
            </w:r>
          </w:p>
        </w:tc>
        <w:tc>
          <w:tcPr>
            <w:tcW w:type="dxa" w:w="165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w:t>
            </w:r>
          </w:p>
        </w:tc>
      </w:tr>
      <w:tr>
        <w:tc>
          <w:tcPr>
            <w:tcW w:type="dxa" w:w="61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120.4</w:t>
            </w:r>
          </w:p>
        </w:tc>
        <w:tc>
          <w:tcPr>
            <w:tcW w:type="dxa" w:w="538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2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9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50%</w:t>
            </w:r>
          </w:p>
        </w:tc>
        <w:tc>
          <w:tcPr>
            <w:tcW w:type="dxa" w:w="165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w:t>
            </w:r>
          </w:p>
        </w:tc>
      </w:tr>
      <w:tr>
        <w:tc>
          <w:tcPr>
            <w:tcW w:type="dxa" w:w="6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120.5</w:t>
            </w:r>
          </w:p>
        </w:tc>
        <w:tc>
          <w:tcPr>
            <w:tcW w:type="dxa" w:w="5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6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bl>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Портфель ценных бумаг</w:t>
      </w:r>
    </w:p>
    <w:p>
      <w:pPr>
        <w:spacing w:after="120"/>
        <w:jc w:val="right"/>
      </w:pPr>
      <w:r>
        <w:rPr>
          <w:rFonts w:ascii="Arial" w:cs="Arial" w:eastAsia="Arial" w:hAnsi="Arial"/>
          <w:sz w:val="24"/>
          <w:szCs w:val="24"/>
        </w:rPr>
        <w:t xml:space="preserve"> (тыс.сом)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23"/>
        <w:gridCol w:w="5598"/>
        <w:gridCol w:w="993"/>
        <w:gridCol w:w="1407"/>
        <w:gridCol w:w="1557"/>
      </w:tblGrid>
      <w:tr>
        <w:tc>
          <w:tcPr>
            <w:tcW w:type="dxa" w:w="62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N</w:t>
            </w:r>
          </w:p>
        </w:tc>
        <w:tc>
          <w:tcPr>
            <w:tcW w:type="dxa" w:w="559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Статьи</w:t>
            </w:r>
          </w:p>
        </w:tc>
        <w:tc>
          <w:tcPr>
            <w:tcW w:type="dxa" w:w="99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балансу</w:t>
            </w:r>
          </w:p>
        </w:tc>
        <w:tc>
          <w:tcPr>
            <w:tcW w:type="dxa" w:w="140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Кредитный риск, %</w:t>
            </w:r>
          </w:p>
        </w:tc>
        <w:tc>
          <w:tcPr>
            <w:tcW w:type="dxa" w:w="155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Взвешенное значение</w:t>
            </w:r>
          </w:p>
        </w:tc>
      </w:tr>
      <w:tr>
        <w:tc>
          <w:tcPr>
            <w:tcW w:type="dxa" w:w="62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130</w:t>
            </w:r>
          </w:p>
        </w:tc>
        <w:tc>
          <w:tcPr>
            <w:tcW w:type="dxa" w:w="55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Ценные бумаги, выпущенные Правительством КР и/или Национальным банком</w:t>
            </w:r>
          </w:p>
        </w:tc>
        <w:tc>
          <w:tcPr>
            <w:tcW w:type="dxa" w:w="99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w:t>
            </w:r>
          </w:p>
        </w:tc>
        <w:tc>
          <w:tcPr>
            <w:tcW w:type="dxa" w:w="140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55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w:t>
            </w:r>
          </w:p>
        </w:tc>
      </w:tr>
      <w:tr>
        <w:tc>
          <w:tcPr>
            <w:tcW w:type="dxa" w:w="62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130.1</w:t>
            </w:r>
          </w:p>
        </w:tc>
        <w:tc>
          <w:tcPr>
            <w:tcW w:type="dxa" w:w="55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99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0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w:t>
            </w:r>
          </w:p>
        </w:tc>
        <w:tc>
          <w:tcPr>
            <w:tcW w:type="dxa" w:w="155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62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130.2</w:t>
            </w:r>
          </w:p>
        </w:tc>
        <w:tc>
          <w:tcPr>
            <w:tcW w:type="dxa" w:w="55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99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0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10%</w:t>
            </w:r>
          </w:p>
        </w:tc>
        <w:tc>
          <w:tcPr>
            <w:tcW w:type="dxa" w:w="155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w:t>
            </w:r>
          </w:p>
        </w:tc>
      </w:tr>
      <w:tr>
        <w:tc>
          <w:tcPr>
            <w:tcW w:type="dxa" w:w="62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130.3</w:t>
            </w:r>
          </w:p>
        </w:tc>
        <w:tc>
          <w:tcPr>
            <w:tcW w:type="dxa" w:w="55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99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0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20%</w:t>
            </w:r>
          </w:p>
        </w:tc>
        <w:tc>
          <w:tcPr>
            <w:tcW w:type="dxa" w:w="155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w:t>
            </w:r>
          </w:p>
        </w:tc>
      </w:tr>
      <w:tr>
        <w:tc>
          <w:tcPr>
            <w:tcW w:type="dxa" w:w="62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130.4</w:t>
            </w:r>
          </w:p>
        </w:tc>
        <w:tc>
          <w:tcPr>
            <w:tcW w:type="dxa" w:w="55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99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0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50%</w:t>
            </w:r>
          </w:p>
        </w:tc>
        <w:tc>
          <w:tcPr>
            <w:tcW w:type="dxa" w:w="155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w:t>
            </w:r>
          </w:p>
        </w:tc>
      </w:tr>
      <w:tr>
        <w:tc>
          <w:tcPr>
            <w:tcW w:type="dxa" w:w="62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130.5</w:t>
            </w:r>
          </w:p>
        </w:tc>
        <w:tc>
          <w:tcPr>
            <w:tcW w:type="dxa" w:w="55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99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0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100%</w:t>
            </w:r>
          </w:p>
        </w:tc>
        <w:tc>
          <w:tcPr>
            <w:tcW w:type="dxa" w:w="155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w:t>
            </w:r>
          </w:p>
        </w:tc>
      </w:tr>
      <w:tr>
        <w:tc>
          <w:tcPr>
            <w:tcW w:type="dxa" w:w="62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140</w:t>
            </w:r>
          </w:p>
        </w:tc>
        <w:tc>
          <w:tcPr>
            <w:tcW w:type="dxa" w:w="55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Ценные бумаги, выпущенные местными органами власти</w:t>
            </w:r>
          </w:p>
        </w:tc>
        <w:tc>
          <w:tcPr>
            <w:tcW w:type="dxa" w:w="99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w:t>
            </w:r>
          </w:p>
        </w:tc>
        <w:tc>
          <w:tcPr>
            <w:tcW w:type="dxa" w:w="140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55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w:t>
            </w:r>
          </w:p>
        </w:tc>
      </w:tr>
      <w:tr>
        <w:tc>
          <w:tcPr>
            <w:tcW w:type="dxa" w:w="62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140.1</w:t>
            </w:r>
          </w:p>
        </w:tc>
        <w:tc>
          <w:tcPr>
            <w:tcW w:type="dxa" w:w="55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99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0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w:t>
            </w:r>
          </w:p>
        </w:tc>
        <w:tc>
          <w:tcPr>
            <w:tcW w:type="dxa" w:w="155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62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140.2</w:t>
            </w:r>
          </w:p>
        </w:tc>
        <w:tc>
          <w:tcPr>
            <w:tcW w:type="dxa" w:w="55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99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0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10%</w:t>
            </w:r>
          </w:p>
        </w:tc>
        <w:tc>
          <w:tcPr>
            <w:tcW w:type="dxa" w:w="155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w:t>
            </w:r>
          </w:p>
        </w:tc>
      </w:tr>
      <w:tr>
        <w:tc>
          <w:tcPr>
            <w:tcW w:type="dxa" w:w="62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140.3</w:t>
            </w:r>
          </w:p>
        </w:tc>
        <w:tc>
          <w:tcPr>
            <w:tcW w:type="dxa" w:w="55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99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0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20%</w:t>
            </w:r>
          </w:p>
        </w:tc>
        <w:tc>
          <w:tcPr>
            <w:tcW w:type="dxa" w:w="155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w:t>
            </w:r>
          </w:p>
        </w:tc>
      </w:tr>
      <w:tr>
        <w:tc>
          <w:tcPr>
            <w:tcW w:type="dxa" w:w="62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140.4</w:t>
            </w:r>
          </w:p>
        </w:tc>
        <w:tc>
          <w:tcPr>
            <w:tcW w:type="dxa" w:w="55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99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0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50%</w:t>
            </w:r>
          </w:p>
        </w:tc>
        <w:tc>
          <w:tcPr>
            <w:tcW w:type="dxa" w:w="155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w:t>
            </w:r>
          </w:p>
        </w:tc>
      </w:tr>
      <w:tr>
        <w:tc>
          <w:tcPr>
            <w:tcW w:type="dxa" w:w="62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140.5</w:t>
            </w:r>
          </w:p>
        </w:tc>
        <w:tc>
          <w:tcPr>
            <w:tcW w:type="dxa" w:w="55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99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0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100%</w:t>
            </w:r>
          </w:p>
        </w:tc>
        <w:tc>
          <w:tcPr>
            <w:tcW w:type="dxa" w:w="155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w:t>
            </w:r>
          </w:p>
        </w:tc>
      </w:tr>
      <w:tr>
        <w:tc>
          <w:tcPr>
            <w:tcW w:type="dxa" w:w="62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150</w:t>
            </w:r>
          </w:p>
        </w:tc>
        <w:tc>
          <w:tcPr>
            <w:tcW w:type="dxa" w:w="55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Ценные бумаги, выпущенные Правительствами стран СНГ</w:t>
            </w:r>
          </w:p>
        </w:tc>
        <w:tc>
          <w:tcPr>
            <w:tcW w:type="dxa" w:w="99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w:t>
            </w:r>
          </w:p>
        </w:tc>
        <w:tc>
          <w:tcPr>
            <w:tcW w:type="dxa" w:w="140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55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w:t>
            </w:r>
          </w:p>
        </w:tc>
      </w:tr>
      <w:tr>
        <w:tc>
          <w:tcPr>
            <w:tcW w:type="dxa" w:w="62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150.1</w:t>
            </w:r>
          </w:p>
        </w:tc>
        <w:tc>
          <w:tcPr>
            <w:tcW w:type="dxa" w:w="55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99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0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w:t>
            </w:r>
          </w:p>
        </w:tc>
        <w:tc>
          <w:tcPr>
            <w:tcW w:type="dxa" w:w="155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62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150.2</w:t>
            </w:r>
          </w:p>
        </w:tc>
        <w:tc>
          <w:tcPr>
            <w:tcW w:type="dxa" w:w="55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99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0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10%</w:t>
            </w:r>
          </w:p>
        </w:tc>
        <w:tc>
          <w:tcPr>
            <w:tcW w:type="dxa" w:w="155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w:t>
            </w:r>
          </w:p>
        </w:tc>
      </w:tr>
      <w:tr>
        <w:tc>
          <w:tcPr>
            <w:tcW w:type="dxa" w:w="62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150.3</w:t>
            </w:r>
          </w:p>
        </w:tc>
        <w:tc>
          <w:tcPr>
            <w:tcW w:type="dxa" w:w="55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99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0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20%</w:t>
            </w:r>
          </w:p>
        </w:tc>
        <w:tc>
          <w:tcPr>
            <w:tcW w:type="dxa" w:w="155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w:t>
            </w:r>
          </w:p>
        </w:tc>
      </w:tr>
      <w:tr>
        <w:tc>
          <w:tcPr>
            <w:tcW w:type="dxa" w:w="62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150.4</w:t>
            </w:r>
          </w:p>
        </w:tc>
        <w:tc>
          <w:tcPr>
            <w:tcW w:type="dxa" w:w="55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99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0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50%</w:t>
            </w:r>
          </w:p>
        </w:tc>
        <w:tc>
          <w:tcPr>
            <w:tcW w:type="dxa" w:w="155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w:t>
            </w:r>
          </w:p>
        </w:tc>
      </w:tr>
      <w:tr>
        <w:tc>
          <w:tcPr>
            <w:tcW w:type="dxa" w:w="62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150.5</w:t>
            </w:r>
          </w:p>
        </w:tc>
        <w:tc>
          <w:tcPr>
            <w:tcW w:type="dxa" w:w="55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99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0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100%</w:t>
            </w:r>
          </w:p>
        </w:tc>
        <w:tc>
          <w:tcPr>
            <w:tcW w:type="dxa" w:w="155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w:t>
            </w:r>
          </w:p>
        </w:tc>
      </w:tr>
      <w:tr>
        <w:tc>
          <w:tcPr>
            <w:tcW w:type="dxa" w:w="62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160</w:t>
            </w:r>
          </w:p>
        </w:tc>
        <w:tc>
          <w:tcPr>
            <w:tcW w:type="dxa" w:w="55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Ценные бумаги, выпущенные иностранными Правительствами стран, кроме Правительств стран СНГ</w:t>
            </w:r>
          </w:p>
        </w:tc>
        <w:tc>
          <w:tcPr>
            <w:tcW w:type="dxa" w:w="99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w:t>
            </w:r>
          </w:p>
        </w:tc>
        <w:tc>
          <w:tcPr>
            <w:tcW w:type="dxa" w:w="140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55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w:t>
            </w:r>
          </w:p>
        </w:tc>
      </w:tr>
      <w:tr>
        <w:tc>
          <w:tcPr>
            <w:tcW w:type="dxa" w:w="62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160.1</w:t>
            </w:r>
          </w:p>
        </w:tc>
        <w:tc>
          <w:tcPr>
            <w:tcW w:type="dxa" w:w="55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99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0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w:t>
            </w:r>
          </w:p>
        </w:tc>
        <w:tc>
          <w:tcPr>
            <w:tcW w:type="dxa" w:w="155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62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160.2</w:t>
            </w:r>
          </w:p>
        </w:tc>
        <w:tc>
          <w:tcPr>
            <w:tcW w:type="dxa" w:w="55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99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0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10%</w:t>
            </w:r>
          </w:p>
        </w:tc>
        <w:tc>
          <w:tcPr>
            <w:tcW w:type="dxa" w:w="155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w:t>
            </w:r>
          </w:p>
        </w:tc>
      </w:tr>
      <w:tr>
        <w:tc>
          <w:tcPr>
            <w:tcW w:type="dxa" w:w="62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160.3</w:t>
            </w:r>
          </w:p>
        </w:tc>
        <w:tc>
          <w:tcPr>
            <w:tcW w:type="dxa" w:w="55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99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0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20%</w:t>
            </w:r>
          </w:p>
        </w:tc>
        <w:tc>
          <w:tcPr>
            <w:tcW w:type="dxa" w:w="155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w:t>
            </w:r>
          </w:p>
        </w:tc>
      </w:tr>
      <w:tr>
        <w:tc>
          <w:tcPr>
            <w:tcW w:type="dxa" w:w="62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160.4</w:t>
            </w:r>
          </w:p>
        </w:tc>
        <w:tc>
          <w:tcPr>
            <w:tcW w:type="dxa" w:w="55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99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0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50%</w:t>
            </w:r>
          </w:p>
        </w:tc>
        <w:tc>
          <w:tcPr>
            <w:tcW w:type="dxa" w:w="155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w:t>
            </w:r>
          </w:p>
        </w:tc>
      </w:tr>
      <w:tr>
        <w:tc>
          <w:tcPr>
            <w:tcW w:type="dxa" w:w="62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160.5</w:t>
            </w:r>
          </w:p>
        </w:tc>
        <w:tc>
          <w:tcPr>
            <w:tcW w:type="dxa" w:w="55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99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0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100%</w:t>
            </w:r>
          </w:p>
        </w:tc>
        <w:tc>
          <w:tcPr>
            <w:tcW w:type="dxa" w:w="155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w:t>
            </w:r>
          </w:p>
        </w:tc>
      </w:tr>
      <w:tr>
        <w:tc>
          <w:tcPr>
            <w:tcW w:type="dxa" w:w="62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170</w:t>
            </w:r>
          </w:p>
        </w:tc>
        <w:tc>
          <w:tcPr>
            <w:tcW w:type="dxa" w:w="55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Долговые ценные бумаги кыргызских компаний</w:t>
            </w:r>
          </w:p>
        </w:tc>
        <w:tc>
          <w:tcPr>
            <w:tcW w:type="dxa" w:w="99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w:t>
            </w:r>
          </w:p>
        </w:tc>
        <w:tc>
          <w:tcPr>
            <w:tcW w:type="dxa" w:w="140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55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w:t>
            </w:r>
          </w:p>
        </w:tc>
      </w:tr>
      <w:tr>
        <w:tc>
          <w:tcPr>
            <w:tcW w:type="dxa" w:w="62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170.1</w:t>
            </w:r>
          </w:p>
        </w:tc>
        <w:tc>
          <w:tcPr>
            <w:tcW w:type="dxa" w:w="55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99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0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w:t>
            </w:r>
          </w:p>
        </w:tc>
        <w:tc>
          <w:tcPr>
            <w:tcW w:type="dxa" w:w="155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62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170.2</w:t>
            </w:r>
          </w:p>
        </w:tc>
        <w:tc>
          <w:tcPr>
            <w:tcW w:type="dxa" w:w="55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99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0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10%</w:t>
            </w:r>
          </w:p>
        </w:tc>
        <w:tc>
          <w:tcPr>
            <w:tcW w:type="dxa" w:w="155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w:t>
            </w:r>
          </w:p>
        </w:tc>
      </w:tr>
      <w:tr>
        <w:tc>
          <w:tcPr>
            <w:tcW w:type="dxa" w:w="62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170.3</w:t>
            </w:r>
          </w:p>
        </w:tc>
        <w:tc>
          <w:tcPr>
            <w:tcW w:type="dxa" w:w="55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99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0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20%</w:t>
            </w:r>
          </w:p>
        </w:tc>
        <w:tc>
          <w:tcPr>
            <w:tcW w:type="dxa" w:w="155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w:t>
            </w:r>
          </w:p>
        </w:tc>
      </w:tr>
      <w:tr>
        <w:tc>
          <w:tcPr>
            <w:tcW w:type="dxa" w:w="62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170.4</w:t>
            </w:r>
          </w:p>
        </w:tc>
        <w:tc>
          <w:tcPr>
            <w:tcW w:type="dxa" w:w="55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99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0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50%</w:t>
            </w:r>
          </w:p>
        </w:tc>
        <w:tc>
          <w:tcPr>
            <w:tcW w:type="dxa" w:w="155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w:t>
            </w:r>
          </w:p>
        </w:tc>
      </w:tr>
      <w:tr>
        <w:tc>
          <w:tcPr>
            <w:tcW w:type="dxa" w:w="62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170.5</w:t>
            </w:r>
          </w:p>
        </w:tc>
        <w:tc>
          <w:tcPr>
            <w:tcW w:type="dxa" w:w="55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99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0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100%</w:t>
            </w:r>
          </w:p>
        </w:tc>
        <w:tc>
          <w:tcPr>
            <w:tcW w:type="dxa" w:w="155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w:t>
            </w:r>
          </w:p>
        </w:tc>
      </w:tr>
      <w:tr>
        <w:tc>
          <w:tcPr>
            <w:tcW w:type="dxa" w:w="62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180</w:t>
            </w:r>
          </w:p>
        </w:tc>
        <w:tc>
          <w:tcPr>
            <w:tcW w:type="dxa" w:w="55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Долговые ценные бумаги компаний стран СНГ</w:t>
            </w:r>
          </w:p>
        </w:tc>
        <w:tc>
          <w:tcPr>
            <w:tcW w:type="dxa" w:w="99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w:t>
            </w:r>
          </w:p>
        </w:tc>
        <w:tc>
          <w:tcPr>
            <w:tcW w:type="dxa" w:w="140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55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w:t>
            </w:r>
          </w:p>
        </w:tc>
      </w:tr>
      <w:tr>
        <w:tc>
          <w:tcPr>
            <w:tcW w:type="dxa" w:w="62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180.1</w:t>
            </w:r>
          </w:p>
        </w:tc>
        <w:tc>
          <w:tcPr>
            <w:tcW w:type="dxa" w:w="55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99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0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w:t>
            </w:r>
          </w:p>
        </w:tc>
        <w:tc>
          <w:tcPr>
            <w:tcW w:type="dxa" w:w="155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62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180.2</w:t>
            </w:r>
          </w:p>
        </w:tc>
        <w:tc>
          <w:tcPr>
            <w:tcW w:type="dxa" w:w="55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99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0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10%</w:t>
            </w:r>
          </w:p>
        </w:tc>
        <w:tc>
          <w:tcPr>
            <w:tcW w:type="dxa" w:w="155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w:t>
            </w:r>
          </w:p>
        </w:tc>
      </w:tr>
      <w:tr>
        <w:tc>
          <w:tcPr>
            <w:tcW w:type="dxa" w:w="62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180.3</w:t>
            </w:r>
          </w:p>
        </w:tc>
        <w:tc>
          <w:tcPr>
            <w:tcW w:type="dxa" w:w="55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99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0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20%</w:t>
            </w:r>
          </w:p>
        </w:tc>
        <w:tc>
          <w:tcPr>
            <w:tcW w:type="dxa" w:w="155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w:t>
            </w:r>
          </w:p>
        </w:tc>
      </w:tr>
      <w:tr>
        <w:tc>
          <w:tcPr>
            <w:tcW w:type="dxa" w:w="62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180.4</w:t>
            </w:r>
          </w:p>
        </w:tc>
        <w:tc>
          <w:tcPr>
            <w:tcW w:type="dxa" w:w="55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99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0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50%</w:t>
            </w:r>
          </w:p>
        </w:tc>
        <w:tc>
          <w:tcPr>
            <w:tcW w:type="dxa" w:w="155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w:t>
            </w:r>
          </w:p>
        </w:tc>
      </w:tr>
      <w:tr>
        <w:tc>
          <w:tcPr>
            <w:tcW w:type="dxa" w:w="62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180.5</w:t>
            </w:r>
          </w:p>
        </w:tc>
        <w:tc>
          <w:tcPr>
            <w:tcW w:type="dxa" w:w="55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99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0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100%</w:t>
            </w:r>
          </w:p>
        </w:tc>
        <w:tc>
          <w:tcPr>
            <w:tcW w:type="dxa" w:w="155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w:t>
            </w:r>
          </w:p>
        </w:tc>
      </w:tr>
      <w:tr>
        <w:tc>
          <w:tcPr>
            <w:tcW w:type="dxa" w:w="62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190</w:t>
            </w:r>
          </w:p>
        </w:tc>
        <w:tc>
          <w:tcPr>
            <w:tcW w:type="dxa" w:w="55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Долговые ценные бумаги иностранных компаний, кроме стран СНГ</w:t>
            </w:r>
          </w:p>
        </w:tc>
        <w:tc>
          <w:tcPr>
            <w:tcW w:type="dxa" w:w="99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w:t>
            </w:r>
          </w:p>
        </w:tc>
        <w:tc>
          <w:tcPr>
            <w:tcW w:type="dxa" w:w="140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100%</w:t>
            </w:r>
          </w:p>
        </w:tc>
        <w:tc>
          <w:tcPr>
            <w:tcW w:type="dxa" w:w="155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w:t>
            </w:r>
          </w:p>
        </w:tc>
      </w:tr>
      <w:tr>
        <w:tc>
          <w:tcPr>
            <w:tcW w:type="dxa" w:w="62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190.1</w:t>
            </w:r>
          </w:p>
        </w:tc>
        <w:tc>
          <w:tcPr>
            <w:tcW w:type="dxa" w:w="55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99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0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w:t>
            </w:r>
          </w:p>
        </w:tc>
        <w:tc>
          <w:tcPr>
            <w:tcW w:type="dxa" w:w="155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62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190.2</w:t>
            </w:r>
          </w:p>
        </w:tc>
        <w:tc>
          <w:tcPr>
            <w:tcW w:type="dxa" w:w="55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99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0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10%</w:t>
            </w:r>
          </w:p>
        </w:tc>
        <w:tc>
          <w:tcPr>
            <w:tcW w:type="dxa" w:w="155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w:t>
            </w:r>
          </w:p>
        </w:tc>
      </w:tr>
      <w:tr>
        <w:tc>
          <w:tcPr>
            <w:tcW w:type="dxa" w:w="62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190.3</w:t>
            </w:r>
          </w:p>
        </w:tc>
        <w:tc>
          <w:tcPr>
            <w:tcW w:type="dxa" w:w="55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99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0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20%</w:t>
            </w:r>
          </w:p>
        </w:tc>
        <w:tc>
          <w:tcPr>
            <w:tcW w:type="dxa" w:w="155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w:t>
            </w:r>
          </w:p>
        </w:tc>
      </w:tr>
      <w:tr>
        <w:tc>
          <w:tcPr>
            <w:tcW w:type="dxa" w:w="62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190.4</w:t>
            </w:r>
          </w:p>
        </w:tc>
        <w:tc>
          <w:tcPr>
            <w:tcW w:type="dxa" w:w="55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99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0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50%</w:t>
            </w:r>
          </w:p>
        </w:tc>
        <w:tc>
          <w:tcPr>
            <w:tcW w:type="dxa" w:w="155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w:t>
            </w:r>
          </w:p>
        </w:tc>
      </w:tr>
      <w:tr>
        <w:tc>
          <w:tcPr>
            <w:tcW w:type="dxa" w:w="62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190.5</w:t>
            </w:r>
          </w:p>
        </w:tc>
        <w:tc>
          <w:tcPr>
            <w:tcW w:type="dxa" w:w="55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99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0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100%</w:t>
            </w:r>
          </w:p>
        </w:tc>
        <w:tc>
          <w:tcPr>
            <w:tcW w:type="dxa" w:w="155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w:t>
            </w:r>
          </w:p>
        </w:tc>
      </w:tr>
      <w:tr>
        <w:tc>
          <w:tcPr>
            <w:tcW w:type="dxa" w:w="62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200</w:t>
            </w:r>
          </w:p>
        </w:tc>
        <w:tc>
          <w:tcPr>
            <w:tcW w:type="dxa" w:w="55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Капитальные ценные бумаги кыргызских компаний</w:t>
            </w:r>
          </w:p>
        </w:tc>
        <w:tc>
          <w:tcPr>
            <w:tcW w:type="dxa" w:w="99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w:t>
            </w:r>
          </w:p>
        </w:tc>
        <w:tc>
          <w:tcPr>
            <w:tcW w:type="dxa" w:w="140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55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w:t>
            </w:r>
          </w:p>
        </w:tc>
      </w:tr>
      <w:tr>
        <w:tc>
          <w:tcPr>
            <w:tcW w:type="dxa" w:w="62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200.1</w:t>
            </w:r>
          </w:p>
        </w:tc>
        <w:tc>
          <w:tcPr>
            <w:tcW w:type="dxa" w:w="55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Капитальные ценные бумаги банков и финансовых учреждений КР (менее 20%)</w:t>
            </w:r>
          </w:p>
        </w:tc>
        <w:tc>
          <w:tcPr>
            <w:tcW w:type="dxa" w:w="99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0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Вычет из капитала</w:t>
            </w:r>
          </w:p>
        </w:tc>
        <w:tc>
          <w:tcPr>
            <w:tcW w:type="dxa" w:w="155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62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200.2</w:t>
            </w:r>
          </w:p>
        </w:tc>
        <w:tc>
          <w:tcPr>
            <w:tcW w:type="dxa" w:w="55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Остальная часть капитальных ценных бумаг</w:t>
            </w:r>
          </w:p>
        </w:tc>
        <w:tc>
          <w:tcPr>
            <w:tcW w:type="dxa" w:w="99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0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w:t>
            </w:r>
          </w:p>
        </w:tc>
        <w:tc>
          <w:tcPr>
            <w:tcW w:type="dxa" w:w="155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62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200.3</w:t>
            </w:r>
          </w:p>
        </w:tc>
        <w:tc>
          <w:tcPr>
            <w:tcW w:type="dxa" w:w="55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Остальная часть капитальных ценных бумаг</w:t>
            </w:r>
          </w:p>
        </w:tc>
        <w:tc>
          <w:tcPr>
            <w:tcW w:type="dxa" w:w="99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0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10%</w:t>
            </w:r>
          </w:p>
        </w:tc>
        <w:tc>
          <w:tcPr>
            <w:tcW w:type="dxa" w:w="155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w:t>
            </w:r>
          </w:p>
        </w:tc>
      </w:tr>
      <w:tr>
        <w:tc>
          <w:tcPr>
            <w:tcW w:type="dxa" w:w="62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200.4</w:t>
            </w:r>
          </w:p>
        </w:tc>
        <w:tc>
          <w:tcPr>
            <w:tcW w:type="dxa" w:w="55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Остальная часть капитальных ценных бумаг</w:t>
            </w:r>
          </w:p>
        </w:tc>
        <w:tc>
          <w:tcPr>
            <w:tcW w:type="dxa" w:w="99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0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20%</w:t>
            </w:r>
          </w:p>
        </w:tc>
        <w:tc>
          <w:tcPr>
            <w:tcW w:type="dxa" w:w="155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w:t>
            </w:r>
          </w:p>
        </w:tc>
      </w:tr>
      <w:tr>
        <w:tc>
          <w:tcPr>
            <w:tcW w:type="dxa" w:w="62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200.5</w:t>
            </w:r>
          </w:p>
        </w:tc>
        <w:tc>
          <w:tcPr>
            <w:tcW w:type="dxa" w:w="55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Остальная часть капитальных ценных бумаг</w:t>
            </w:r>
          </w:p>
        </w:tc>
        <w:tc>
          <w:tcPr>
            <w:tcW w:type="dxa" w:w="99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0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50%</w:t>
            </w:r>
          </w:p>
        </w:tc>
        <w:tc>
          <w:tcPr>
            <w:tcW w:type="dxa" w:w="155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w:t>
            </w:r>
          </w:p>
        </w:tc>
      </w:tr>
      <w:tr>
        <w:tc>
          <w:tcPr>
            <w:tcW w:type="dxa" w:w="62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200.6</w:t>
            </w:r>
          </w:p>
        </w:tc>
        <w:tc>
          <w:tcPr>
            <w:tcW w:type="dxa" w:w="55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Остальная часть капитальных ценных бумаг</w:t>
            </w:r>
          </w:p>
        </w:tc>
        <w:tc>
          <w:tcPr>
            <w:tcW w:type="dxa" w:w="99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0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100%</w:t>
            </w:r>
          </w:p>
        </w:tc>
        <w:tc>
          <w:tcPr>
            <w:tcW w:type="dxa" w:w="155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w:t>
            </w:r>
          </w:p>
        </w:tc>
      </w:tr>
      <w:tr>
        <w:tc>
          <w:tcPr>
            <w:tcW w:type="dxa" w:w="62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210</w:t>
            </w:r>
          </w:p>
        </w:tc>
        <w:tc>
          <w:tcPr>
            <w:tcW w:type="dxa" w:w="55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Капитальные ценные бумаги компаний стран СНГ</w:t>
            </w:r>
          </w:p>
        </w:tc>
        <w:tc>
          <w:tcPr>
            <w:tcW w:type="dxa" w:w="99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w:t>
            </w:r>
          </w:p>
        </w:tc>
        <w:tc>
          <w:tcPr>
            <w:tcW w:type="dxa" w:w="140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55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w:t>
            </w:r>
          </w:p>
        </w:tc>
      </w:tr>
      <w:tr>
        <w:tc>
          <w:tcPr>
            <w:tcW w:type="dxa" w:w="62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210.1</w:t>
            </w:r>
          </w:p>
        </w:tc>
        <w:tc>
          <w:tcPr>
            <w:tcW w:type="dxa" w:w="55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Капитальные ценные бумаги банков и финансовых учреждений стран СНГ (менее 20%)</w:t>
            </w:r>
          </w:p>
        </w:tc>
        <w:tc>
          <w:tcPr>
            <w:tcW w:type="dxa" w:w="99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0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Вычет из капитала</w:t>
            </w:r>
          </w:p>
        </w:tc>
        <w:tc>
          <w:tcPr>
            <w:tcW w:type="dxa" w:w="155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62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210.2</w:t>
            </w:r>
          </w:p>
        </w:tc>
        <w:tc>
          <w:tcPr>
            <w:tcW w:type="dxa" w:w="55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Остальная часть капитальных ценных бумаг</w:t>
            </w:r>
          </w:p>
        </w:tc>
        <w:tc>
          <w:tcPr>
            <w:tcW w:type="dxa" w:w="99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0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w:t>
            </w:r>
          </w:p>
        </w:tc>
        <w:tc>
          <w:tcPr>
            <w:tcW w:type="dxa" w:w="155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62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210.3</w:t>
            </w:r>
          </w:p>
        </w:tc>
        <w:tc>
          <w:tcPr>
            <w:tcW w:type="dxa" w:w="55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Остальная часть капитальных ценных бумаг</w:t>
            </w:r>
          </w:p>
        </w:tc>
        <w:tc>
          <w:tcPr>
            <w:tcW w:type="dxa" w:w="99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0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10%</w:t>
            </w:r>
          </w:p>
        </w:tc>
        <w:tc>
          <w:tcPr>
            <w:tcW w:type="dxa" w:w="155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w:t>
            </w:r>
          </w:p>
        </w:tc>
      </w:tr>
      <w:tr>
        <w:tc>
          <w:tcPr>
            <w:tcW w:type="dxa" w:w="62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210.4</w:t>
            </w:r>
          </w:p>
        </w:tc>
        <w:tc>
          <w:tcPr>
            <w:tcW w:type="dxa" w:w="55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Остальная часть капитальных ценных бумаг</w:t>
            </w:r>
          </w:p>
        </w:tc>
        <w:tc>
          <w:tcPr>
            <w:tcW w:type="dxa" w:w="99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0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20%</w:t>
            </w:r>
          </w:p>
        </w:tc>
        <w:tc>
          <w:tcPr>
            <w:tcW w:type="dxa" w:w="155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w:t>
            </w:r>
          </w:p>
        </w:tc>
      </w:tr>
      <w:tr>
        <w:tc>
          <w:tcPr>
            <w:tcW w:type="dxa" w:w="62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210.5</w:t>
            </w:r>
          </w:p>
        </w:tc>
        <w:tc>
          <w:tcPr>
            <w:tcW w:type="dxa" w:w="55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Остальная часть капитальных ценных бумаг</w:t>
            </w:r>
          </w:p>
        </w:tc>
        <w:tc>
          <w:tcPr>
            <w:tcW w:type="dxa" w:w="99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0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50%</w:t>
            </w:r>
          </w:p>
        </w:tc>
        <w:tc>
          <w:tcPr>
            <w:tcW w:type="dxa" w:w="155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w:t>
            </w:r>
          </w:p>
        </w:tc>
      </w:tr>
      <w:tr>
        <w:tc>
          <w:tcPr>
            <w:tcW w:type="dxa" w:w="62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210.6</w:t>
            </w:r>
          </w:p>
        </w:tc>
        <w:tc>
          <w:tcPr>
            <w:tcW w:type="dxa" w:w="55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Остальная часть капитальных ценных бумаг</w:t>
            </w:r>
          </w:p>
        </w:tc>
        <w:tc>
          <w:tcPr>
            <w:tcW w:type="dxa" w:w="99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0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100%</w:t>
            </w:r>
          </w:p>
        </w:tc>
        <w:tc>
          <w:tcPr>
            <w:tcW w:type="dxa" w:w="155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w:t>
            </w:r>
          </w:p>
        </w:tc>
      </w:tr>
      <w:tr>
        <w:tc>
          <w:tcPr>
            <w:tcW w:type="dxa" w:w="62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220</w:t>
            </w:r>
          </w:p>
        </w:tc>
        <w:tc>
          <w:tcPr>
            <w:tcW w:type="dxa" w:w="55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Капитальные ценные бумаги компаний КР и стран СНГ, не подлежащие амортизации</w:t>
            </w:r>
          </w:p>
        </w:tc>
        <w:tc>
          <w:tcPr>
            <w:tcW w:type="dxa" w:w="99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w:t>
            </w:r>
          </w:p>
        </w:tc>
        <w:tc>
          <w:tcPr>
            <w:tcW w:type="dxa" w:w="140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55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w:t>
            </w:r>
          </w:p>
        </w:tc>
      </w:tr>
      <w:tr>
        <w:tc>
          <w:tcPr>
            <w:tcW w:type="dxa" w:w="62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220.1</w:t>
            </w:r>
          </w:p>
        </w:tc>
        <w:tc>
          <w:tcPr>
            <w:tcW w:type="dxa" w:w="55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Капитальные ценные бумаги банков и финансовых учреждений КР и стран СНГ, не подлежащие амортизации (менее 20%)</w:t>
            </w:r>
          </w:p>
        </w:tc>
        <w:tc>
          <w:tcPr>
            <w:tcW w:type="dxa" w:w="99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0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Вычет из капитала</w:t>
            </w:r>
          </w:p>
        </w:tc>
        <w:tc>
          <w:tcPr>
            <w:tcW w:type="dxa" w:w="155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62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220.2</w:t>
            </w:r>
          </w:p>
        </w:tc>
        <w:tc>
          <w:tcPr>
            <w:tcW w:type="dxa" w:w="55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Остальная часть капитальных ценных бумаг</w:t>
            </w:r>
          </w:p>
        </w:tc>
        <w:tc>
          <w:tcPr>
            <w:tcW w:type="dxa" w:w="99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0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w:t>
            </w:r>
          </w:p>
        </w:tc>
        <w:tc>
          <w:tcPr>
            <w:tcW w:type="dxa" w:w="155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62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220.3</w:t>
            </w:r>
          </w:p>
        </w:tc>
        <w:tc>
          <w:tcPr>
            <w:tcW w:type="dxa" w:w="55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Остальная часть капитальных ценных бумаг</w:t>
            </w:r>
          </w:p>
        </w:tc>
        <w:tc>
          <w:tcPr>
            <w:tcW w:type="dxa" w:w="99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0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10%</w:t>
            </w:r>
          </w:p>
        </w:tc>
        <w:tc>
          <w:tcPr>
            <w:tcW w:type="dxa" w:w="155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w:t>
            </w:r>
          </w:p>
        </w:tc>
      </w:tr>
      <w:tr>
        <w:tc>
          <w:tcPr>
            <w:tcW w:type="dxa" w:w="62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220.4</w:t>
            </w:r>
          </w:p>
        </w:tc>
        <w:tc>
          <w:tcPr>
            <w:tcW w:type="dxa" w:w="55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Остальная часть капитальных ценных бумаг</w:t>
            </w:r>
          </w:p>
        </w:tc>
        <w:tc>
          <w:tcPr>
            <w:tcW w:type="dxa" w:w="99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0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20%</w:t>
            </w:r>
          </w:p>
        </w:tc>
        <w:tc>
          <w:tcPr>
            <w:tcW w:type="dxa" w:w="155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w:t>
            </w:r>
          </w:p>
        </w:tc>
      </w:tr>
      <w:tr>
        <w:tc>
          <w:tcPr>
            <w:tcW w:type="dxa" w:w="62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220.5</w:t>
            </w:r>
          </w:p>
        </w:tc>
        <w:tc>
          <w:tcPr>
            <w:tcW w:type="dxa" w:w="55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Остальная часть капитальных ценных бумаг</w:t>
            </w:r>
          </w:p>
        </w:tc>
        <w:tc>
          <w:tcPr>
            <w:tcW w:type="dxa" w:w="99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0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50%</w:t>
            </w:r>
          </w:p>
        </w:tc>
        <w:tc>
          <w:tcPr>
            <w:tcW w:type="dxa" w:w="155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w:t>
            </w:r>
          </w:p>
        </w:tc>
      </w:tr>
      <w:tr>
        <w:tc>
          <w:tcPr>
            <w:tcW w:type="dxa" w:w="62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220.6</w:t>
            </w:r>
          </w:p>
        </w:tc>
        <w:tc>
          <w:tcPr>
            <w:tcW w:type="dxa" w:w="55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Остальная часть капитальных ценных бумаг</w:t>
            </w:r>
          </w:p>
        </w:tc>
        <w:tc>
          <w:tcPr>
            <w:tcW w:type="dxa" w:w="99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0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100%</w:t>
            </w:r>
          </w:p>
        </w:tc>
        <w:tc>
          <w:tcPr>
            <w:tcW w:type="dxa" w:w="155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w:t>
            </w:r>
          </w:p>
        </w:tc>
      </w:tr>
      <w:tr>
        <w:tc>
          <w:tcPr>
            <w:tcW w:type="dxa" w:w="62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230</w:t>
            </w:r>
          </w:p>
        </w:tc>
        <w:tc>
          <w:tcPr>
            <w:tcW w:type="dxa" w:w="55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Капитальные ценные бумаги иностранных компаний, кроме стран СНГ</w:t>
            </w:r>
          </w:p>
        </w:tc>
        <w:tc>
          <w:tcPr>
            <w:tcW w:type="dxa" w:w="99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w:t>
            </w:r>
          </w:p>
        </w:tc>
        <w:tc>
          <w:tcPr>
            <w:tcW w:type="dxa" w:w="140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55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w:t>
            </w:r>
          </w:p>
        </w:tc>
      </w:tr>
      <w:tr>
        <w:tc>
          <w:tcPr>
            <w:tcW w:type="dxa" w:w="62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230.1</w:t>
            </w:r>
          </w:p>
        </w:tc>
        <w:tc>
          <w:tcPr>
            <w:tcW w:type="dxa" w:w="55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Капитальные ценные бумаги иностранных банков и финансовых учреждений, кроме стран СНГ (менее 20%)</w:t>
            </w:r>
          </w:p>
        </w:tc>
        <w:tc>
          <w:tcPr>
            <w:tcW w:type="dxa" w:w="99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0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Вычет из капитала</w:t>
            </w:r>
          </w:p>
        </w:tc>
        <w:tc>
          <w:tcPr>
            <w:tcW w:type="dxa" w:w="155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62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230.2</w:t>
            </w:r>
          </w:p>
        </w:tc>
        <w:tc>
          <w:tcPr>
            <w:tcW w:type="dxa" w:w="55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Остальная часть капитальных ценных бумаг</w:t>
            </w:r>
          </w:p>
        </w:tc>
        <w:tc>
          <w:tcPr>
            <w:tcW w:type="dxa" w:w="99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0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w:t>
            </w:r>
          </w:p>
        </w:tc>
        <w:tc>
          <w:tcPr>
            <w:tcW w:type="dxa" w:w="155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62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230.3</w:t>
            </w:r>
          </w:p>
        </w:tc>
        <w:tc>
          <w:tcPr>
            <w:tcW w:type="dxa" w:w="55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Остальная часть капитальных ценных бумаг</w:t>
            </w:r>
          </w:p>
        </w:tc>
        <w:tc>
          <w:tcPr>
            <w:tcW w:type="dxa" w:w="99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0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10%</w:t>
            </w:r>
          </w:p>
        </w:tc>
        <w:tc>
          <w:tcPr>
            <w:tcW w:type="dxa" w:w="155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w:t>
            </w:r>
          </w:p>
        </w:tc>
      </w:tr>
      <w:tr>
        <w:tc>
          <w:tcPr>
            <w:tcW w:type="dxa" w:w="62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230.4</w:t>
            </w:r>
          </w:p>
        </w:tc>
        <w:tc>
          <w:tcPr>
            <w:tcW w:type="dxa" w:w="55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Остальная часть капитальных ценных бумаг</w:t>
            </w:r>
          </w:p>
        </w:tc>
        <w:tc>
          <w:tcPr>
            <w:tcW w:type="dxa" w:w="99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0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20%</w:t>
            </w:r>
          </w:p>
        </w:tc>
        <w:tc>
          <w:tcPr>
            <w:tcW w:type="dxa" w:w="155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w:t>
            </w:r>
          </w:p>
        </w:tc>
      </w:tr>
      <w:tr>
        <w:tc>
          <w:tcPr>
            <w:tcW w:type="dxa" w:w="62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230.5</w:t>
            </w:r>
          </w:p>
        </w:tc>
        <w:tc>
          <w:tcPr>
            <w:tcW w:type="dxa" w:w="559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Остальная часть капитальных ценных бумаг</w:t>
            </w:r>
          </w:p>
        </w:tc>
        <w:tc>
          <w:tcPr>
            <w:tcW w:type="dxa" w:w="99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0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50%</w:t>
            </w:r>
          </w:p>
        </w:tc>
        <w:tc>
          <w:tcPr>
            <w:tcW w:type="dxa" w:w="155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w:t>
            </w:r>
          </w:p>
        </w:tc>
      </w:tr>
      <w:tr>
        <w:tc>
          <w:tcPr>
            <w:tcW w:type="dxa" w:w="6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230.6</w:t>
            </w:r>
          </w:p>
        </w:tc>
        <w:tc>
          <w:tcPr>
            <w:tcW w:type="dxa" w:w="5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Остальная часть капитальных ценных бумаг</w:t>
            </w:r>
          </w:p>
        </w:tc>
        <w:tc>
          <w:tcPr>
            <w:tcW w:type="dxa" w:w="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5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bl>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Кредиты и лизинги</w:t>
      </w:r>
    </w:p>
    <w:p>
      <w:pPr>
        <w:spacing w:after="120"/>
        <w:jc w:val="right"/>
      </w:pPr>
      <w:r>
        <w:rPr>
          <w:rFonts w:ascii="Arial" w:cs="Arial" w:eastAsia="Arial" w:hAnsi="Arial"/>
          <w:sz w:val="24"/>
          <w:szCs w:val="24"/>
        </w:rPr>
        <w:t xml:space="preserve">(тыс.сом)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04"/>
        <w:gridCol w:w="4697"/>
        <w:gridCol w:w="1177"/>
        <w:gridCol w:w="1704"/>
        <w:gridCol w:w="1896"/>
      </w:tblGrid>
      <w:tr>
        <w:tc>
          <w:tcPr>
            <w:tcW w:type="dxa" w:w="70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69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Статьи</w:t>
            </w:r>
          </w:p>
        </w:tc>
        <w:tc>
          <w:tcPr>
            <w:tcW w:type="dxa" w:w="117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балансу</w:t>
            </w:r>
          </w:p>
        </w:tc>
        <w:tc>
          <w:tcPr>
            <w:tcW w:type="dxa" w:w="170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Кредитный риск, %</w:t>
            </w:r>
          </w:p>
        </w:tc>
        <w:tc>
          <w:tcPr>
            <w:tcW w:type="dxa" w:w="189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Взвешенное значение</w:t>
            </w:r>
          </w:p>
        </w:tc>
      </w:tr>
      <w:tr>
        <w:tc>
          <w:tcPr>
            <w:tcW w:type="dxa" w:w="7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240</w:t>
            </w:r>
          </w:p>
        </w:tc>
        <w:tc>
          <w:tcPr>
            <w:tcW w:type="dxa" w:w="4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Кредиты банкам Кыргызской Республики</w:t>
            </w:r>
          </w:p>
        </w:tc>
        <w:tc>
          <w:tcPr>
            <w:tcW w:type="dxa" w:w="1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7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240.1</w:t>
            </w:r>
          </w:p>
        </w:tc>
        <w:tc>
          <w:tcPr>
            <w:tcW w:type="dxa" w:w="4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240.2</w:t>
            </w:r>
          </w:p>
        </w:tc>
        <w:tc>
          <w:tcPr>
            <w:tcW w:type="dxa" w:w="4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240.3</w:t>
            </w:r>
          </w:p>
        </w:tc>
        <w:tc>
          <w:tcPr>
            <w:tcW w:type="dxa" w:w="4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240.4</w:t>
            </w:r>
          </w:p>
        </w:tc>
        <w:tc>
          <w:tcPr>
            <w:tcW w:type="dxa" w:w="4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240.5</w:t>
            </w:r>
          </w:p>
        </w:tc>
        <w:tc>
          <w:tcPr>
            <w:tcW w:type="dxa" w:w="4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240.6</w:t>
            </w:r>
          </w:p>
        </w:tc>
        <w:tc>
          <w:tcPr>
            <w:tcW w:type="dxa" w:w="4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1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240.7</w:t>
            </w:r>
          </w:p>
        </w:tc>
        <w:tc>
          <w:tcPr>
            <w:tcW w:type="dxa" w:w="4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tc>
        <w:tc>
          <w:tcPr>
            <w:tcW w:type="dxa" w:w="1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250</w:t>
            </w:r>
          </w:p>
        </w:tc>
        <w:tc>
          <w:tcPr>
            <w:tcW w:type="dxa" w:w="4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Кредиты банкам и финансовым организациям стран СНГ</w:t>
            </w:r>
          </w:p>
        </w:tc>
        <w:tc>
          <w:tcPr>
            <w:tcW w:type="dxa" w:w="1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7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250.1</w:t>
            </w:r>
          </w:p>
        </w:tc>
        <w:tc>
          <w:tcPr>
            <w:tcW w:type="dxa" w:w="4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250.2</w:t>
            </w:r>
          </w:p>
        </w:tc>
        <w:tc>
          <w:tcPr>
            <w:tcW w:type="dxa" w:w="4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250.3</w:t>
            </w:r>
          </w:p>
        </w:tc>
        <w:tc>
          <w:tcPr>
            <w:tcW w:type="dxa" w:w="4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250.4</w:t>
            </w:r>
          </w:p>
        </w:tc>
        <w:tc>
          <w:tcPr>
            <w:tcW w:type="dxa" w:w="4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250.5</w:t>
            </w:r>
          </w:p>
        </w:tc>
        <w:tc>
          <w:tcPr>
            <w:tcW w:type="dxa" w:w="4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250.6</w:t>
            </w:r>
          </w:p>
        </w:tc>
        <w:tc>
          <w:tcPr>
            <w:tcW w:type="dxa" w:w="4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1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250.7</w:t>
            </w:r>
          </w:p>
        </w:tc>
        <w:tc>
          <w:tcPr>
            <w:tcW w:type="dxa" w:w="4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tc>
        <w:tc>
          <w:tcPr>
            <w:tcW w:type="dxa" w:w="1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260</w:t>
            </w:r>
          </w:p>
        </w:tc>
        <w:tc>
          <w:tcPr>
            <w:tcW w:type="dxa" w:w="4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Кредиты иностранным банкам и финансовым организациям, кроме стран СНГ</w:t>
            </w:r>
          </w:p>
        </w:tc>
        <w:tc>
          <w:tcPr>
            <w:tcW w:type="dxa" w:w="1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7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260.1</w:t>
            </w:r>
          </w:p>
        </w:tc>
        <w:tc>
          <w:tcPr>
            <w:tcW w:type="dxa" w:w="4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260.2</w:t>
            </w:r>
          </w:p>
        </w:tc>
        <w:tc>
          <w:tcPr>
            <w:tcW w:type="dxa" w:w="4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260.3</w:t>
            </w:r>
          </w:p>
        </w:tc>
        <w:tc>
          <w:tcPr>
            <w:tcW w:type="dxa" w:w="4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260.4</w:t>
            </w:r>
          </w:p>
        </w:tc>
        <w:tc>
          <w:tcPr>
            <w:tcW w:type="dxa" w:w="4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260.5</w:t>
            </w:r>
          </w:p>
        </w:tc>
        <w:tc>
          <w:tcPr>
            <w:tcW w:type="dxa" w:w="4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260.6</w:t>
            </w:r>
          </w:p>
        </w:tc>
        <w:tc>
          <w:tcPr>
            <w:tcW w:type="dxa" w:w="4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1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260.7</w:t>
            </w:r>
          </w:p>
        </w:tc>
        <w:tc>
          <w:tcPr>
            <w:tcW w:type="dxa" w:w="4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tc>
        <w:tc>
          <w:tcPr>
            <w:tcW w:type="dxa" w:w="1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270</w:t>
            </w:r>
          </w:p>
        </w:tc>
        <w:tc>
          <w:tcPr>
            <w:tcW w:type="dxa" w:w="4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Кредиты государственному сектору</w:t>
            </w:r>
          </w:p>
        </w:tc>
        <w:tc>
          <w:tcPr>
            <w:tcW w:type="dxa" w:w="1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7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270.1</w:t>
            </w:r>
          </w:p>
        </w:tc>
        <w:tc>
          <w:tcPr>
            <w:tcW w:type="dxa" w:w="4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270.2</w:t>
            </w:r>
          </w:p>
        </w:tc>
        <w:tc>
          <w:tcPr>
            <w:tcW w:type="dxa" w:w="4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270.3</w:t>
            </w:r>
          </w:p>
        </w:tc>
        <w:tc>
          <w:tcPr>
            <w:tcW w:type="dxa" w:w="4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270.4</w:t>
            </w:r>
          </w:p>
        </w:tc>
        <w:tc>
          <w:tcPr>
            <w:tcW w:type="dxa" w:w="4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270.5</w:t>
            </w:r>
          </w:p>
        </w:tc>
        <w:tc>
          <w:tcPr>
            <w:tcW w:type="dxa" w:w="4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280</w:t>
            </w:r>
          </w:p>
        </w:tc>
        <w:tc>
          <w:tcPr>
            <w:tcW w:type="dxa" w:w="4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Кредиты негосударственному сектору</w:t>
            </w:r>
          </w:p>
        </w:tc>
        <w:tc>
          <w:tcPr>
            <w:tcW w:type="dxa" w:w="1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7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280.1</w:t>
            </w:r>
          </w:p>
        </w:tc>
        <w:tc>
          <w:tcPr>
            <w:tcW w:type="dxa" w:w="4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280.2</w:t>
            </w:r>
          </w:p>
        </w:tc>
        <w:tc>
          <w:tcPr>
            <w:tcW w:type="dxa" w:w="4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280.3</w:t>
            </w:r>
          </w:p>
        </w:tc>
        <w:tc>
          <w:tcPr>
            <w:tcW w:type="dxa" w:w="4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280.4</w:t>
            </w:r>
          </w:p>
        </w:tc>
        <w:tc>
          <w:tcPr>
            <w:tcW w:type="dxa" w:w="4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280.5</w:t>
            </w:r>
          </w:p>
        </w:tc>
        <w:tc>
          <w:tcPr>
            <w:tcW w:type="dxa" w:w="4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280.6</w:t>
            </w:r>
          </w:p>
        </w:tc>
        <w:tc>
          <w:tcPr>
            <w:tcW w:type="dxa" w:w="4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1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280.7</w:t>
            </w:r>
          </w:p>
        </w:tc>
        <w:tc>
          <w:tcPr>
            <w:tcW w:type="dxa" w:w="4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1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280.8</w:t>
            </w:r>
          </w:p>
        </w:tc>
        <w:tc>
          <w:tcPr>
            <w:tcW w:type="dxa" w:w="4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tc>
        <w:tc>
          <w:tcPr>
            <w:tcW w:type="dxa" w:w="1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290</w:t>
            </w:r>
          </w:p>
        </w:tc>
        <w:tc>
          <w:tcPr>
            <w:tcW w:type="dxa" w:w="4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Кредиты физическим лицам для личных целей</w:t>
            </w:r>
          </w:p>
        </w:tc>
        <w:tc>
          <w:tcPr>
            <w:tcW w:type="dxa" w:w="1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7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290.1</w:t>
            </w:r>
          </w:p>
        </w:tc>
        <w:tc>
          <w:tcPr>
            <w:tcW w:type="dxa" w:w="4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290.2</w:t>
            </w:r>
          </w:p>
        </w:tc>
        <w:tc>
          <w:tcPr>
            <w:tcW w:type="dxa" w:w="4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290.3</w:t>
            </w:r>
          </w:p>
        </w:tc>
        <w:tc>
          <w:tcPr>
            <w:tcW w:type="dxa" w:w="4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290.4</w:t>
            </w:r>
          </w:p>
        </w:tc>
        <w:tc>
          <w:tcPr>
            <w:tcW w:type="dxa" w:w="4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290.5</w:t>
            </w:r>
          </w:p>
        </w:tc>
        <w:tc>
          <w:tcPr>
            <w:tcW w:type="dxa" w:w="4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290.6</w:t>
            </w:r>
          </w:p>
        </w:tc>
        <w:tc>
          <w:tcPr>
            <w:tcW w:type="dxa" w:w="4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1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290.7</w:t>
            </w:r>
          </w:p>
        </w:tc>
        <w:tc>
          <w:tcPr>
            <w:tcW w:type="dxa" w:w="4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1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290.8</w:t>
            </w:r>
          </w:p>
        </w:tc>
        <w:tc>
          <w:tcPr>
            <w:tcW w:type="dxa" w:w="4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tc>
        <w:tc>
          <w:tcPr>
            <w:tcW w:type="dxa" w:w="1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300</w:t>
            </w:r>
          </w:p>
        </w:tc>
        <w:tc>
          <w:tcPr>
            <w:tcW w:type="dxa" w:w="4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Ипотечные кредиты государственному сектору</w:t>
            </w:r>
          </w:p>
        </w:tc>
        <w:tc>
          <w:tcPr>
            <w:tcW w:type="dxa" w:w="1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310</w:t>
            </w:r>
          </w:p>
        </w:tc>
        <w:tc>
          <w:tcPr>
            <w:tcW w:type="dxa" w:w="4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Ипотечные кредиты негосударственному сектору</w:t>
            </w:r>
          </w:p>
        </w:tc>
        <w:tc>
          <w:tcPr>
            <w:tcW w:type="dxa" w:w="1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310.1</w:t>
            </w:r>
          </w:p>
        </w:tc>
        <w:tc>
          <w:tcPr>
            <w:tcW w:type="dxa" w:w="4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1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310.2</w:t>
            </w:r>
          </w:p>
        </w:tc>
        <w:tc>
          <w:tcPr>
            <w:tcW w:type="dxa" w:w="4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1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310.3</w:t>
            </w:r>
          </w:p>
        </w:tc>
        <w:tc>
          <w:tcPr>
            <w:tcW w:type="dxa" w:w="4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tc>
        <w:tc>
          <w:tcPr>
            <w:tcW w:type="dxa" w:w="1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320</w:t>
            </w:r>
          </w:p>
        </w:tc>
        <w:tc>
          <w:tcPr>
            <w:tcW w:type="dxa" w:w="4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Ипотечные кредиты физическим лицам</w:t>
            </w:r>
          </w:p>
        </w:tc>
        <w:tc>
          <w:tcPr>
            <w:tcW w:type="dxa" w:w="1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7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320.1</w:t>
            </w:r>
          </w:p>
        </w:tc>
        <w:tc>
          <w:tcPr>
            <w:tcW w:type="dxa" w:w="4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320.2</w:t>
            </w:r>
          </w:p>
        </w:tc>
        <w:tc>
          <w:tcPr>
            <w:tcW w:type="dxa" w:w="4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320.3</w:t>
            </w:r>
          </w:p>
        </w:tc>
        <w:tc>
          <w:tcPr>
            <w:tcW w:type="dxa" w:w="4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1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320.4</w:t>
            </w:r>
          </w:p>
        </w:tc>
        <w:tc>
          <w:tcPr>
            <w:tcW w:type="dxa" w:w="46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1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bl>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Кредиты и лизинги (продолжение)/Прочие активы</w:t>
      </w:r>
    </w:p>
    <w:p>
      <w:pPr>
        <w:spacing w:after="120"/>
        <w:jc w:val="right"/>
      </w:pPr>
      <w:r>
        <w:rPr>
          <w:rFonts w:ascii="Arial" w:cs="Arial" w:eastAsia="Arial" w:hAnsi="Arial"/>
          <w:sz w:val="24"/>
          <w:szCs w:val="24"/>
        </w:rPr>
        <w:t xml:space="preserve">(тыс.сом)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08"/>
        <w:gridCol w:w="4867"/>
        <w:gridCol w:w="1134"/>
        <w:gridCol w:w="1600"/>
        <w:gridCol w:w="1769"/>
      </w:tblGrid>
      <w:tr>
        <w:tc>
          <w:tcPr>
            <w:tcW w:type="dxa" w:w="80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86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Статьи</w:t>
            </w:r>
          </w:p>
        </w:tc>
        <w:tc>
          <w:tcPr>
            <w:tcW w:type="dxa" w:w="113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балансу</w:t>
            </w:r>
          </w:p>
        </w:tc>
        <w:tc>
          <w:tcPr>
            <w:tcW w:type="dxa" w:w="160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Кредитный риск, %</w:t>
            </w:r>
          </w:p>
        </w:tc>
        <w:tc>
          <w:tcPr>
            <w:tcW w:type="dxa" w:w="176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Взвешенное значение</w:t>
            </w:r>
          </w:p>
        </w:tc>
      </w:tr>
      <w:tr>
        <w:tc>
          <w:tcPr>
            <w:tcW w:type="dxa" w:w="8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330</w:t>
            </w:r>
          </w:p>
        </w:tc>
        <w:tc>
          <w:tcPr>
            <w:tcW w:type="dxa" w:w="4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Кредиты на строительство государственному сектору</w:t>
            </w:r>
          </w:p>
        </w:tc>
        <w:tc>
          <w:tcPr>
            <w:tcW w:type="dxa" w:w="1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8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330.1</w:t>
            </w:r>
          </w:p>
        </w:tc>
        <w:tc>
          <w:tcPr>
            <w:tcW w:type="dxa" w:w="4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330.2</w:t>
            </w:r>
          </w:p>
        </w:tc>
        <w:tc>
          <w:tcPr>
            <w:tcW w:type="dxa" w:w="4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8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330.3</w:t>
            </w:r>
          </w:p>
        </w:tc>
        <w:tc>
          <w:tcPr>
            <w:tcW w:type="dxa" w:w="4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8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330.4</w:t>
            </w:r>
          </w:p>
        </w:tc>
        <w:tc>
          <w:tcPr>
            <w:tcW w:type="dxa" w:w="4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8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330.5</w:t>
            </w:r>
          </w:p>
        </w:tc>
        <w:tc>
          <w:tcPr>
            <w:tcW w:type="dxa" w:w="4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8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340</w:t>
            </w:r>
          </w:p>
        </w:tc>
        <w:tc>
          <w:tcPr>
            <w:tcW w:type="dxa" w:w="4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Кредиты на строительство негосударственному сектору</w:t>
            </w:r>
          </w:p>
        </w:tc>
        <w:tc>
          <w:tcPr>
            <w:tcW w:type="dxa" w:w="1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8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340.1</w:t>
            </w:r>
          </w:p>
        </w:tc>
        <w:tc>
          <w:tcPr>
            <w:tcW w:type="dxa" w:w="4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340.2</w:t>
            </w:r>
          </w:p>
        </w:tc>
        <w:tc>
          <w:tcPr>
            <w:tcW w:type="dxa" w:w="4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8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340.3</w:t>
            </w:r>
          </w:p>
        </w:tc>
        <w:tc>
          <w:tcPr>
            <w:tcW w:type="dxa" w:w="4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8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340.4</w:t>
            </w:r>
          </w:p>
        </w:tc>
        <w:tc>
          <w:tcPr>
            <w:tcW w:type="dxa" w:w="4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8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340.5</w:t>
            </w:r>
          </w:p>
        </w:tc>
        <w:tc>
          <w:tcPr>
            <w:tcW w:type="dxa" w:w="4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8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340.6</w:t>
            </w:r>
          </w:p>
        </w:tc>
        <w:tc>
          <w:tcPr>
            <w:tcW w:type="dxa" w:w="4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1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8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340.7</w:t>
            </w:r>
          </w:p>
        </w:tc>
        <w:tc>
          <w:tcPr>
            <w:tcW w:type="dxa" w:w="4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1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8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340.8</w:t>
            </w:r>
          </w:p>
        </w:tc>
        <w:tc>
          <w:tcPr>
            <w:tcW w:type="dxa" w:w="4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tc>
        <w:tc>
          <w:tcPr>
            <w:tcW w:type="dxa" w:w="1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8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350</w:t>
            </w:r>
          </w:p>
        </w:tc>
        <w:tc>
          <w:tcPr>
            <w:tcW w:type="dxa" w:w="4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Кредиты на строительство физическим лицам</w:t>
            </w:r>
          </w:p>
        </w:tc>
        <w:tc>
          <w:tcPr>
            <w:tcW w:type="dxa" w:w="1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8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350.1</w:t>
            </w:r>
          </w:p>
        </w:tc>
        <w:tc>
          <w:tcPr>
            <w:tcW w:type="dxa" w:w="4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350.2</w:t>
            </w:r>
          </w:p>
        </w:tc>
        <w:tc>
          <w:tcPr>
            <w:tcW w:type="dxa" w:w="4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8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350.3</w:t>
            </w:r>
          </w:p>
        </w:tc>
        <w:tc>
          <w:tcPr>
            <w:tcW w:type="dxa" w:w="4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8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350.4</w:t>
            </w:r>
          </w:p>
        </w:tc>
        <w:tc>
          <w:tcPr>
            <w:tcW w:type="dxa" w:w="4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8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350.5</w:t>
            </w:r>
          </w:p>
        </w:tc>
        <w:tc>
          <w:tcPr>
            <w:tcW w:type="dxa" w:w="4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8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350.6</w:t>
            </w:r>
          </w:p>
        </w:tc>
        <w:tc>
          <w:tcPr>
            <w:tcW w:type="dxa" w:w="4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1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8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350.7</w:t>
            </w:r>
          </w:p>
        </w:tc>
        <w:tc>
          <w:tcPr>
            <w:tcW w:type="dxa" w:w="4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1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8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350.8</w:t>
            </w:r>
          </w:p>
        </w:tc>
        <w:tc>
          <w:tcPr>
            <w:tcW w:type="dxa" w:w="4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tc>
        <w:tc>
          <w:tcPr>
            <w:tcW w:type="dxa" w:w="1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8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360</w:t>
            </w:r>
          </w:p>
        </w:tc>
        <w:tc>
          <w:tcPr>
            <w:tcW w:type="dxa" w:w="4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Кредиты на капитальную аренду</w:t>
            </w:r>
          </w:p>
        </w:tc>
        <w:tc>
          <w:tcPr>
            <w:tcW w:type="dxa" w:w="1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8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360.1</w:t>
            </w:r>
          </w:p>
        </w:tc>
        <w:tc>
          <w:tcPr>
            <w:tcW w:type="dxa" w:w="4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360.2</w:t>
            </w:r>
          </w:p>
        </w:tc>
        <w:tc>
          <w:tcPr>
            <w:tcW w:type="dxa" w:w="4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8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360.3</w:t>
            </w:r>
          </w:p>
        </w:tc>
        <w:tc>
          <w:tcPr>
            <w:tcW w:type="dxa" w:w="4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8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360.4</w:t>
            </w:r>
          </w:p>
        </w:tc>
        <w:tc>
          <w:tcPr>
            <w:tcW w:type="dxa" w:w="4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8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360.5</w:t>
            </w:r>
          </w:p>
        </w:tc>
        <w:tc>
          <w:tcPr>
            <w:tcW w:type="dxa" w:w="4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8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360.6</w:t>
            </w:r>
          </w:p>
        </w:tc>
        <w:tc>
          <w:tcPr>
            <w:tcW w:type="dxa" w:w="4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1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8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360.7</w:t>
            </w:r>
          </w:p>
        </w:tc>
        <w:tc>
          <w:tcPr>
            <w:tcW w:type="dxa" w:w="4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1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8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360.8</w:t>
            </w:r>
          </w:p>
        </w:tc>
        <w:tc>
          <w:tcPr>
            <w:tcW w:type="dxa" w:w="4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tc>
        <w:tc>
          <w:tcPr>
            <w:tcW w:type="dxa" w:w="1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8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361</w:t>
            </w:r>
          </w:p>
        </w:tc>
        <w:tc>
          <w:tcPr>
            <w:tcW w:type="dxa" w:w="4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Финансирование, предоставленное по договорам мушарака, мудараба</w:t>
            </w:r>
          </w:p>
        </w:tc>
        <w:tc>
          <w:tcPr>
            <w:tcW w:type="dxa" w:w="1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w:t>
            </w:r>
          </w:p>
        </w:tc>
        <w:tc>
          <w:tcPr>
            <w:tcW w:type="dxa" w:w="1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8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370</w:t>
            </w:r>
          </w:p>
        </w:tc>
        <w:tc>
          <w:tcPr>
            <w:tcW w:type="dxa" w:w="4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Основные средства</w:t>
            </w:r>
          </w:p>
        </w:tc>
        <w:tc>
          <w:tcPr>
            <w:tcW w:type="dxa" w:w="1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8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380</w:t>
            </w:r>
          </w:p>
        </w:tc>
        <w:tc>
          <w:tcPr>
            <w:tcW w:type="dxa" w:w="4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Прочая собственность банка</w:t>
            </w:r>
          </w:p>
        </w:tc>
        <w:tc>
          <w:tcPr>
            <w:tcW w:type="dxa" w:w="1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8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390</w:t>
            </w:r>
          </w:p>
        </w:tc>
        <w:tc>
          <w:tcPr>
            <w:tcW w:type="dxa" w:w="4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Инвестиции и финансовое участие в неконсолидированных банках</w:t>
            </w:r>
          </w:p>
        </w:tc>
        <w:tc>
          <w:tcPr>
            <w:tcW w:type="dxa" w:w="1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Вычет из капитала</w:t>
            </w:r>
          </w:p>
        </w:tc>
        <w:tc>
          <w:tcPr>
            <w:tcW w:type="dxa" w:w="1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400</w:t>
            </w:r>
          </w:p>
        </w:tc>
        <w:tc>
          <w:tcPr>
            <w:tcW w:type="dxa" w:w="4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Инвестиции и финансовое участие в неконсолидированных финансовых организациях, кроме банков</w:t>
            </w:r>
          </w:p>
        </w:tc>
        <w:tc>
          <w:tcPr>
            <w:tcW w:type="dxa" w:w="1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Вычет из капитала</w:t>
            </w:r>
          </w:p>
        </w:tc>
        <w:tc>
          <w:tcPr>
            <w:tcW w:type="dxa" w:w="1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410</w:t>
            </w:r>
          </w:p>
        </w:tc>
        <w:tc>
          <w:tcPr>
            <w:tcW w:type="dxa" w:w="4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Инвестиции и финансовое участие в неконсолидированных нефинансовых учреждениях</w:t>
            </w:r>
          </w:p>
        </w:tc>
        <w:tc>
          <w:tcPr>
            <w:tcW w:type="dxa" w:w="1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8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420</w:t>
            </w:r>
          </w:p>
        </w:tc>
        <w:tc>
          <w:tcPr>
            <w:tcW w:type="dxa" w:w="4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Начисленные проценты к получению</w:t>
            </w:r>
          </w:p>
        </w:tc>
        <w:tc>
          <w:tcPr>
            <w:tcW w:type="dxa" w:w="1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8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420.1</w:t>
            </w:r>
          </w:p>
        </w:tc>
        <w:tc>
          <w:tcPr>
            <w:tcW w:type="dxa" w:w="4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8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420.2</w:t>
            </w:r>
          </w:p>
        </w:tc>
        <w:tc>
          <w:tcPr>
            <w:tcW w:type="dxa" w:w="4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8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420.3</w:t>
            </w:r>
          </w:p>
        </w:tc>
        <w:tc>
          <w:tcPr>
            <w:tcW w:type="dxa" w:w="4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8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420.4</w:t>
            </w:r>
          </w:p>
        </w:tc>
        <w:tc>
          <w:tcPr>
            <w:tcW w:type="dxa" w:w="4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8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420.5</w:t>
            </w:r>
          </w:p>
        </w:tc>
        <w:tc>
          <w:tcPr>
            <w:tcW w:type="dxa" w:w="4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8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420.6</w:t>
            </w:r>
          </w:p>
        </w:tc>
        <w:tc>
          <w:tcPr>
            <w:tcW w:type="dxa" w:w="4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1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8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420.7</w:t>
            </w:r>
          </w:p>
        </w:tc>
        <w:tc>
          <w:tcPr>
            <w:tcW w:type="dxa" w:w="4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1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8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420.7-1</w:t>
            </w:r>
          </w:p>
        </w:tc>
        <w:tc>
          <w:tcPr>
            <w:tcW w:type="dxa" w:w="4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tc>
        <w:tc>
          <w:tcPr>
            <w:tcW w:type="dxa" w:w="1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8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420.8</w:t>
            </w:r>
          </w:p>
        </w:tc>
        <w:tc>
          <w:tcPr>
            <w:tcW w:type="dxa" w:w="4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w:t>
            </w:r>
          </w:p>
        </w:tc>
        <w:tc>
          <w:tcPr>
            <w:tcW w:type="dxa" w:w="1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8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430</w:t>
            </w:r>
          </w:p>
        </w:tc>
        <w:tc>
          <w:tcPr>
            <w:tcW w:type="dxa" w:w="4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активы</w:t>
            </w:r>
          </w:p>
        </w:tc>
        <w:tc>
          <w:tcPr>
            <w:tcW w:type="dxa" w:w="1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8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430.1</w:t>
            </w:r>
          </w:p>
        </w:tc>
        <w:tc>
          <w:tcPr>
            <w:tcW w:type="dxa" w:w="4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Нематериальные активы</w:t>
            </w:r>
          </w:p>
        </w:tc>
        <w:tc>
          <w:tcPr>
            <w:tcW w:type="dxa" w:w="1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Вычет из капитала</w:t>
            </w:r>
          </w:p>
        </w:tc>
        <w:tc>
          <w:tcPr>
            <w:tcW w:type="dxa" w:w="1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430.2</w:t>
            </w:r>
          </w:p>
        </w:tc>
        <w:tc>
          <w:tcPr>
            <w:tcW w:type="dxa" w:w="4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Остальная часть прочих активов</w:t>
            </w:r>
          </w:p>
        </w:tc>
        <w:tc>
          <w:tcPr>
            <w:tcW w:type="dxa" w:w="1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8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440</w:t>
            </w:r>
          </w:p>
        </w:tc>
        <w:tc>
          <w:tcPr>
            <w:tcW w:type="dxa" w:w="4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балансовых активов (сумма ст.10-430)</w:t>
            </w:r>
          </w:p>
        </w:tc>
        <w:tc>
          <w:tcPr>
            <w:tcW w:type="dxa" w:w="1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8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450</w:t>
            </w:r>
          </w:p>
        </w:tc>
        <w:tc>
          <w:tcPr>
            <w:tcW w:type="dxa" w:w="4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по категории 1</w:t>
            </w:r>
          </w:p>
        </w:tc>
        <w:tc>
          <w:tcPr>
            <w:tcW w:type="dxa" w:w="1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460</w:t>
            </w:r>
          </w:p>
        </w:tc>
        <w:tc>
          <w:tcPr>
            <w:tcW w:type="dxa" w:w="4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по категории 2</w:t>
            </w:r>
          </w:p>
        </w:tc>
        <w:tc>
          <w:tcPr>
            <w:tcW w:type="dxa" w:w="1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8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470</w:t>
            </w:r>
          </w:p>
        </w:tc>
        <w:tc>
          <w:tcPr>
            <w:tcW w:type="dxa" w:w="4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по категории 3</w:t>
            </w:r>
          </w:p>
        </w:tc>
        <w:tc>
          <w:tcPr>
            <w:tcW w:type="dxa" w:w="1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8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480</w:t>
            </w:r>
          </w:p>
        </w:tc>
        <w:tc>
          <w:tcPr>
            <w:tcW w:type="dxa" w:w="4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по категории 4</w:t>
            </w:r>
          </w:p>
        </w:tc>
        <w:tc>
          <w:tcPr>
            <w:tcW w:type="dxa" w:w="1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8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490</w:t>
            </w:r>
          </w:p>
        </w:tc>
        <w:tc>
          <w:tcPr>
            <w:tcW w:type="dxa" w:w="4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по категории 5</w:t>
            </w:r>
          </w:p>
        </w:tc>
        <w:tc>
          <w:tcPr>
            <w:tcW w:type="dxa" w:w="1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8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491</w:t>
            </w:r>
          </w:p>
        </w:tc>
        <w:tc>
          <w:tcPr>
            <w:tcW w:type="dxa" w:w="4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по категории 6</w:t>
            </w:r>
          </w:p>
        </w:tc>
        <w:tc>
          <w:tcPr>
            <w:tcW w:type="dxa" w:w="1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1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8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492</w:t>
            </w:r>
          </w:p>
        </w:tc>
        <w:tc>
          <w:tcPr>
            <w:tcW w:type="dxa" w:w="4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по категории 7</w:t>
            </w:r>
          </w:p>
        </w:tc>
        <w:tc>
          <w:tcPr>
            <w:tcW w:type="dxa" w:w="1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1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8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492.1</w:t>
            </w:r>
          </w:p>
        </w:tc>
        <w:tc>
          <w:tcPr>
            <w:tcW w:type="dxa" w:w="4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по категории 8</w:t>
            </w:r>
          </w:p>
        </w:tc>
        <w:tc>
          <w:tcPr>
            <w:tcW w:type="dxa" w:w="1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tc>
        <w:tc>
          <w:tcPr>
            <w:tcW w:type="dxa" w:w="1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8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493</w:t>
            </w:r>
          </w:p>
        </w:tc>
        <w:tc>
          <w:tcPr>
            <w:tcW w:type="dxa" w:w="4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Финансирование, предоставленное по договорам мушарака, мудараба</w:t>
            </w:r>
          </w:p>
        </w:tc>
        <w:tc>
          <w:tcPr>
            <w:tcW w:type="dxa" w:w="1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w:t>
            </w:r>
          </w:p>
        </w:tc>
        <w:tc>
          <w:tcPr>
            <w:tcW w:type="dxa" w:w="1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8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500</w:t>
            </w:r>
          </w:p>
        </w:tc>
        <w:tc>
          <w:tcPr>
            <w:tcW w:type="dxa" w:w="4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вычетов из капитала</w:t>
            </w:r>
          </w:p>
        </w:tc>
        <w:tc>
          <w:tcPr>
            <w:tcW w:type="dxa" w:w="1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Забалансовые обязательства</w:t>
      </w:r>
    </w:p>
    <w:p>
      <w:pPr>
        <w:spacing w:after="120"/>
        <w:jc w:val="right"/>
      </w:pPr>
      <w:r>
        <w:rPr>
          <w:rFonts w:ascii="Arial" w:cs="Arial" w:eastAsia="Arial" w:hAnsi="Arial"/>
          <w:sz w:val="24"/>
          <w:szCs w:val="24"/>
        </w:rPr>
        <w:t xml:space="preserve"> (тыс.сом)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00"/>
        <w:gridCol w:w="4094"/>
        <w:gridCol w:w="1034"/>
        <w:gridCol w:w="1512"/>
        <w:gridCol w:w="1329"/>
        <w:gridCol w:w="1508"/>
      </w:tblGrid>
      <w:tr>
        <w:tc>
          <w:tcPr>
            <w:tcW w:type="dxa" w:w="700"/>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09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Статьи</w:t>
            </w:r>
          </w:p>
        </w:tc>
        <w:tc>
          <w:tcPr>
            <w:tcW w:type="dxa" w:w="103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балансу</w:t>
            </w:r>
          </w:p>
        </w:tc>
        <w:tc>
          <w:tcPr>
            <w:tcW w:type="dxa" w:w="151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Фактор кредитной конверсии, %</w:t>
            </w:r>
          </w:p>
        </w:tc>
        <w:tc>
          <w:tcPr>
            <w:tcW w:type="dxa" w:w="132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Кредитный риск, %</w:t>
            </w:r>
          </w:p>
        </w:tc>
        <w:tc>
          <w:tcPr>
            <w:tcW w:type="dxa" w:w="150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Взвешенное значение</w:t>
            </w:r>
          </w:p>
        </w:tc>
      </w:tr>
      <w:tr>
        <w:tc>
          <w:tcPr>
            <w:tcW w:type="dxa" w:w="7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510</w:t>
            </w:r>
          </w:p>
        </w:tc>
        <w:tc>
          <w:tcPr>
            <w:tcW w:type="dxa" w:w="40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Обязательства на выдачу кредитов</w:t>
            </w:r>
          </w:p>
        </w:tc>
        <w:tc>
          <w:tcPr>
            <w:tcW w:type="dxa" w:w="1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510.1</w:t>
            </w:r>
          </w:p>
        </w:tc>
        <w:tc>
          <w:tcPr>
            <w:tcW w:type="dxa" w:w="40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510.2</w:t>
            </w:r>
          </w:p>
        </w:tc>
        <w:tc>
          <w:tcPr>
            <w:tcW w:type="dxa" w:w="40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510.3</w:t>
            </w:r>
          </w:p>
        </w:tc>
        <w:tc>
          <w:tcPr>
            <w:tcW w:type="dxa" w:w="40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510.4</w:t>
            </w:r>
          </w:p>
        </w:tc>
        <w:tc>
          <w:tcPr>
            <w:tcW w:type="dxa" w:w="40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510.5</w:t>
            </w:r>
          </w:p>
        </w:tc>
        <w:tc>
          <w:tcPr>
            <w:tcW w:type="dxa" w:w="40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520</w:t>
            </w:r>
          </w:p>
        </w:tc>
        <w:tc>
          <w:tcPr>
            <w:tcW w:type="dxa" w:w="40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Общие гарантии по кредитам и ценным бумагам, резервные аккредитивы и гарантии</w:t>
            </w:r>
          </w:p>
        </w:tc>
        <w:tc>
          <w:tcPr>
            <w:tcW w:type="dxa" w:w="1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520.1</w:t>
            </w:r>
          </w:p>
        </w:tc>
        <w:tc>
          <w:tcPr>
            <w:tcW w:type="dxa" w:w="40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520.2</w:t>
            </w:r>
          </w:p>
        </w:tc>
        <w:tc>
          <w:tcPr>
            <w:tcW w:type="dxa" w:w="40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520.3</w:t>
            </w:r>
          </w:p>
        </w:tc>
        <w:tc>
          <w:tcPr>
            <w:tcW w:type="dxa" w:w="40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520.4</w:t>
            </w:r>
          </w:p>
        </w:tc>
        <w:tc>
          <w:tcPr>
            <w:tcW w:type="dxa" w:w="40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520.5</w:t>
            </w:r>
          </w:p>
        </w:tc>
        <w:tc>
          <w:tcPr>
            <w:tcW w:type="dxa" w:w="40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530</w:t>
            </w:r>
          </w:p>
        </w:tc>
        <w:tc>
          <w:tcPr>
            <w:tcW w:type="dxa" w:w="40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Обязательства, связанные с конкретными сделками</w:t>
            </w:r>
          </w:p>
        </w:tc>
        <w:tc>
          <w:tcPr>
            <w:tcW w:type="dxa" w:w="1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530.1</w:t>
            </w:r>
          </w:p>
        </w:tc>
        <w:tc>
          <w:tcPr>
            <w:tcW w:type="dxa" w:w="40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530.2</w:t>
            </w:r>
          </w:p>
        </w:tc>
        <w:tc>
          <w:tcPr>
            <w:tcW w:type="dxa" w:w="40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530.3</w:t>
            </w:r>
          </w:p>
        </w:tc>
        <w:tc>
          <w:tcPr>
            <w:tcW w:type="dxa" w:w="40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530.4</w:t>
            </w:r>
          </w:p>
        </w:tc>
        <w:tc>
          <w:tcPr>
            <w:tcW w:type="dxa" w:w="40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530.5</w:t>
            </w:r>
          </w:p>
        </w:tc>
        <w:tc>
          <w:tcPr>
            <w:tcW w:type="dxa" w:w="40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540</w:t>
            </w:r>
          </w:p>
        </w:tc>
        <w:tc>
          <w:tcPr>
            <w:tcW w:type="dxa" w:w="40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Обязательства, связанные с торговыми сделками</w:t>
            </w:r>
          </w:p>
        </w:tc>
        <w:tc>
          <w:tcPr>
            <w:tcW w:type="dxa" w:w="1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540.1</w:t>
            </w:r>
          </w:p>
        </w:tc>
        <w:tc>
          <w:tcPr>
            <w:tcW w:type="dxa" w:w="40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540.2</w:t>
            </w:r>
          </w:p>
        </w:tc>
        <w:tc>
          <w:tcPr>
            <w:tcW w:type="dxa" w:w="40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540.3</w:t>
            </w:r>
          </w:p>
        </w:tc>
        <w:tc>
          <w:tcPr>
            <w:tcW w:type="dxa" w:w="40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540.4</w:t>
            </w:r>
          </w:p>
        </w:tc>
        <w:tc>
          <w:tcPr>
            <w:tcW w:type="dxa" w:w="40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540.5</w:t>
            </w:r>
          </w:p>
        </w:tc>
        <w:tc>
          <w:tcPr>
            <w:tcW w:type="dxa" w:w="40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550</w:t>
            </w:r>
          </w:p>
        </w:tc>
        <w:tc>
          <w:tcPr>
            <w:tcW w:type="dxa" w:w="40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Соглашения о продаже с последующим выкупом</w:t>
            </w:r>
          </w:p>
        </w:tc>
        <w:tc>
          <w:tcPr>
            <w:tcW w:type="dxa" w:w="1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550.1</w:t>
            </w:r>
          </w:p>
        </w:tc>
        <w:tc>
          <w:tcPr>
            <w:tcW w:type="dxa" w:w="40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550.2</w:t>
            </w:r>
          </w:p>
        </w:tc>
        <w:tc>
          <w:tcPr>
            <w:tcW w:type="dxa" w:w="40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550.3</w:t>
            </w:r>
          </w:p>
        </w:tc>
        <w:tc>
          <w:tcPr>
            <w:tcW w:type="dxa" w:w="40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550.4</w:t>
            </w:r>
          </w:p>
        </w:tc>
        <w:tc>
          <w:tcPr>
            <w:tcW w:type="dxa" w:w="40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550.5</w:t>
            </w:r>
          </w:p>
        </w:tc>
        <w:tc>
          <w:tcPr>
            <w:tcW w:type="dxa" w:w="40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560</w:t>
            </w:r>
          </w:p>
        </w:tc>
        <w:tc>
          <w:tcPr>
            <w:tcW w:type="dxa" w:w="40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Обязательства по покупке активов</w:t>
            </w:r>
          </w:p>
        </w:tc>
        <w:tc>
          <w:tcPr>
            <w:tcW w:type="dxa" w:w="1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560.1</w:t>
            </w:r>
          </w:p>
        </w:tc>
        <w:tc>
          <w:tcPr>
            <w:tcW w:type="dxa" w:w="40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560.2</w:t>
            </w:r>
          </w:p>
        </w:tc>
        <w:tc>
          <w:tcPr>
            <w:tcW w:type="dxa" w:w="40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560.3</w:t>
            </w:r>
          </w:p>
        </w:tc>
        <w:tc>
          <w:tcPr>
            <w:tcW w:type="dxa" w:w="40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560.4</w:t>
            </w:r>
          </w:p>
        </w:tc>
        <w:tc>
          <w:tcPr>
            <w:tcW w:type="dxa" w:w="40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560.5</w:t>
            </w:r>
          </w:p>
        </w:tc>
        <w:tc>
          <w:tcPr>
            <w:tcW w:type="dxa" w:w="40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570</w:t>
            </w:r>
          </w:p>
        </w:tc>
        <w:tc>
          <w:tcPr>
            <w:tcW w:type="dxa" w:w="40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Валютные операции</w:t>
            </w:r>
          </w:p>
        </w:tc>
        <w:tc>
          <w:tcPr>
            <w:tcW w:type="dxa" w:w="1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570.1</w:t>
            </w:r>
          </w:p>
        </w:tc>
        <w:tc>
          <w:tcPr>
            <w:tcW w:type="dxa" w:w="40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менее 1 года</w:t>
            </w:r>
          </w:p>
        </w:tc>
        <w:tc>
          <w:tcPr>
            <w:tcW w:type="dxa" w:w="1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570.2</w:t>
            </w:r>
          </w:p>
        </w:tc>
        <w:tc>
          <w:tcPr>
            <w:tcW w:type="dxa" w:w="40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1 года до 2 лет</w:t>
            </w:r>
          </w:p>
        </w:tc>
        <w:tc>
          <w:tcPr>
            <w:tcW w:type="dxa" w:w="1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570.3</w:t>
            </w:r>
          </w:p>
        </w:tc>
        <w:tc>
          <w:tcPr>
            <w:tcW w:type="dxa" w:w="40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каждый следующий год</w:t>
            </w:r>
          </w:p>
        </w:tc>
        <w:tc>
          <w:tcPr>
            <w:tcW w:type="dxa" w:w="1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580</w:t>
            </w:r>
          </w:p>
        </w:tc>
        <w:tc>
          <w:tcPr>
            <w:tcW w:type="dxa" w:w="40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Операции с процентной ставкой</w:t>
            </w:r>
          </w:p>
        </w:tc>
        <w:tc>
          <w:tcPr>
            <w:tcW w:type="dxa" w:w="1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580.1</w:t>
            </w:r>
          </w:p>
        </w:tc>
        <w:tc>
          <w:tcPr>
            <w:tcW w:type="dxa" w:w="40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менее 1 года</w:t>
            </w:r>
          </w:p>
        </w:tc>
        <w:tc>
          <w:tcPr>
            <w:tcW w:type="dxa" w:w="1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w:t>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w:t>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580.2</w:t>
            </w:r>
          </w:p>
        </w:tc>
        <w:tc>
          <w:tcPr>
            <w:tcW w:type="dxa" w:w="40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1 года до 2 лет</w:t>
            </w:r>
          </w:p>
        </w:tc>
        <w:tc>
          <w:tcPr>
            <w:tcW w:type="dxa" w:w="1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580.3</w:t>
            </w:r>
          </w:p>
        </w:tc>
        <w:tc>
          <w:tcPr>
            <w:tcW w:type="dxa" w:w="40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каждый следующий год</w:t>
            </w:r>
          </w:p>
        </w:tc>
        <w:tc>
          <w:tcPr>
            <w:tcW w:type="dxa" w:w="1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590</w:t>
            </w:r>
          </w:p>
        </w:tc>
        <w:tc>
          <w:tcPr>
            <w:tcW w:type="dxa" w:w="40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забалансовые обязательства</w:t>
            </w:r>
          </w:p>
        </w:tc>
        <w:tc>
          <w:tcPr>
            <w:tcW w:type="dxa" w:w="1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590.1</w:t>
            </w:r>
          </w:p>
        </w:tc>
        <w:tc>
          <w:tcPr>
            <w:tcW w:type="dxa" w:w="40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590.2</w:t>
            </w:r>
          </w:p>
        </w:tc>
        <w:tc>
          <w:tcPr>
            <w:tcW w:type="dxa" w:w="40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590.3</w:t>
            </w:r>
          </w:p>
        </w:tc>
        <w:tc>
          <w:tcPr>
            <w:tcW w:type="dxa" w:w="40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595</w:t>
            </w:r>
          </w:p>
        </w:tc>
        <w:tc>
          <w:tcPr>
            <w:tcW w:type="dxa" w:w="40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Обязательства, по которым банк имеет право безусловного отзыва/аннулирования в любое время без предварительного уведомления клиента</w:t>
            </w:r>
          </w:p>
        </w:tc>
        <w:tc>
          <w:tcPr>
            <w:tcW w:type="dxa" w:w="1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600</w:t>
            </w:r>
          </w:p>
        </w:tc>
        <w:tc>
          <w:tcPr>
            <w:tcW w:type="dxa" w:w="40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забалансовых обязательств (сумма ст. 510-595)</w:t>
            </w:r>
          </w:p>
        </w:tc>
        <w:tc>
          <w:tcPr>
            <w:tcW w:type="dxa" w:w="1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610</w:t>
            </w:r>
          </w:p>
        </w:tc>
        <w:tc>
          <w:tcPr>
            <w:tcW w:type="dxa" w:w="40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специальных резервов на покрытие потенциальных и лизинговых потерь и убытков (далее - специальный резерв на покрытие убытков)</w:t>
            </w:r>
          </w:p>
        </w:tc>
        <w:tc>
          <w:tcPr>
            <w:tcW w:type="dxa" w:w="1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610.1</w:t>
            </w:r>
          </w:p>
        </w:tc>
        <w:tc>
          <w:tcPr>
            <w:tcW w:type="dxa" w:w="40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Специальный резерв на покрытие убытков по балансовым активам</w:t>
            </w:r>
          </w:p>
        </w:tc>
        <w:tc>
          <w:tcPr>
            <w:tcW w:type="dxa" w:w="1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610.2</w:t>
            </w:r>
          </w:p>
        </w:tc>
        <w:tc>
          <w:tcPr>
            <w:tcW w:type="dxa" w:w="40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Специальный резерв на покрытие убытков по забалансовым обязательствам</w:t>
            </w:r>
          </w:p>
        </w:tc>
        <w:tc>
          <w:tcPr>
            <w:tcW w:type="dxa" w:w="1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620</w:t>
            </w:r>
          </w:p>
        </w:tc>
        <w:tc>
          <w:tcPr>
            <w:tcW w:type="dxa" w:w="40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балансовых активов и забалансовых обязательств, взвешенных по степени риска, за минусом специальных резервов на покрытие убытков (ст.440 плюс ст.600 минус 610)</w:t>
            </w:r>
          </w:p>
        </w:tc>
        <w:tc>
          <w:tcPr>
            <w:tcW w:type="dxa" w:w="1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bl>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Субординированный долг</w:t>
      </w:r>
    </w:p>
    <w:p>
      <w:pPr>
        <w:spacing w:after="120"/>
        <w:jc w:val="right"/>
      </w:pPr>
      <w:r>
        <w:rPr>
          <w:rFonts w:ascii="Arial" w:cs="Arial" w:eastAsia="Arial" w:hAnsi="Arial"/>
          <w:sz w:val="24"/>
          <w:szCs w:val="24"/>
        </w:rPr>
        <w:t xml:space="preserve">(тыс.сом)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62"/>
        <w:gridCol w:w="4839"/>
        <w:gridCol w:w="1360"/>
        <w:gridCol w:w="1036"/>
        <w:gridCol w:w="2382"/>
      </w:tblGrid>
      <w:tr>
        <w:tc>
          <w:tcPr>
            <w:tcW w:type="dxa" w:w="56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N</w:t>
            </w:r>
          </w:p>
        </w:tc>
        <w:tc>
          <w:tcPr>
            <w:tcW w:type="dxa" w:w="483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Статьи</w:t>
            </w:r>
          </w:p>
        </w:tc>
        <w:tc>
          <w:tcPr>
            <w:tcW w:type="dxa" w:w="136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балансу</w:t>
            </w:r>
          </w:p>
        </w:tc>
        <w:tc>
          <w:tcPr>
            <w:tcW w:type="dxa" w:w="103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Доля, %</w:t>
            </w:r>
          </w:p>
        </w:tc>
        <w:tc>
          <w:tcPr>
            <w:tcW w:type="dxa" w:w="238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Взвешенное значение</w:t>
            </w:r>
          </w:p>
        </w:tc>
      </w:tr>
      <w:tr>
        <w:tc>
          <w:tcPr>
            <w:tcW w:type="dxa" w:w="56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630</w:t>
            </w:r>
          </w:p>
        </w:tc>
        <w:tc>
          <w:tcPr>
            <w:tcW w:type="dxa" w:w="483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Бессрочный субординированный долг</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3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238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56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640</w:t>
            </w:r>
          </w:p>
        </w:tc>
        <w:tc>
          <w:tcPr>
            <w:tcW w:type="dxa" w:w="483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 оставшимся сроком погашения более 5 лет</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3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100%</w:t>
            </w:r>
          </w:p>
        </w:tc>
        <w:tc>
          <w:tcPr>
            <w:tcW w:type="dxa" w:w="238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w:t>
            </w:r>
          </w:p>
        </w:tc>
      </w:tr>
      <w:tr>
        <w:tc>
          <w:tcPr>
            <w:tcW w:type="dxa" w:w="56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650</w:t>
            </w:r>
          </w:p>
        </w:tc>
        <w:tc>
          <w:tcPr>
            <w:tcW w:type="dxa" w:w="483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 оставшимся сроком погашения от 4 до 5 лет</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3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80%</w:t>
            </w:r>
          </w:p>
        </w:tc>
        <w:tc>
          <w:tcPr>
            <w:tcW w:type="dxa" w:w="238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w:t>
            </w:r>
          </w:p>
        </w:tc>
      </w:tr>
      <w:tr>
        <w:tc>
          <w:tcPr>
            <w:tcW w:type="dxa" w:w="56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660</w:t>
            </w:r>
          </w:p>
        </w:tc>
        <w:tc>
          <w:tcPr>
            <w:tcW w:type="dxa" w:w="483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 оставшимся сроком погашения от 3 до 4 лет</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3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60%</w:t>
            </w:r>
          </w:p>
        </w:tc>
        <w:tc>
          <w:tcPr>
            <w:tcW w:type="dxa" w:w="238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w:t>
            </w:r>
          </w:p>
        </w:tc>
      </w:tr>
      <w:tr>
        <w:tc>
          <w:tcPr>
            <w:tcW w:type="dxa" w:w="56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670</w:t>
            </w:r>
          </w:p>
        </w:tc>
        <w:tc>
          <w:tcPr>
            <w:tcW w:type="dxa" w:w="483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 оставшимся сроком погашения от 2 до 3 лет</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3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40%</w:t>
            </w:r>
          </w:p>
        </w:tc>
        <w:tc>
          <w:tcPr>
            <w:tcW w:type="dxa" w:w="238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w:t>
            </w:r>
          </w:p>
        </w:tc>
      </w:tr>
      <w:tr>
        <w:tc>
          <w:tcPr>
            <w:tcW w:type="dxa" w:w="56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680</w:t>
            </w:r>
          </w:p>
        </w:tc>
        <w:tc>
          <w:tcPr>
            <w:tcW w:type="dxa" w:w="483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 оставшимся сроком погашения от 1 до 2 лет</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3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20%</w:t>
            </w:r>
          </w:p>
        </w:tc>
        <w:tc>
          <w:tcPr>
            <w:tcW w:type="dxa" w:w="238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w:t>
            </w:r>
          </w:p>
        </w:tc>
      </w:tr>
      <w:tr>
        <w:tc>
          <w:tcPr>
            <w:tcW w:type="dxa" w:w="56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690</w:t>
            </w:r>
          </w:p>
        </w:tc>
        <w:tc>
          <w:tcPr>
            <w:tcW w:type="dxa" w:w="483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 оставшимся сроком погашения менее 1 года</w:t>
            </w:r>
          </w:p>
        </w:tc>
        <w:tc>
          <w:tcPr>
            <w:tcW w:type="dxa" w:w="13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3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0%</w:t>
            </w:r>
          </w:p>
        </w:tc>
        <w:tc>
          <w:tcPr>
            <w:tcW w:type="dxa" w:w="238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5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700</w:t>
            </w:r>
          </w:p>
        </w:tc>
        <w:tc>
          <w:tcPr>
            <w:tcW w:type="dxa" w:w="4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1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bl>
    <w:p>
      <w:pPr>
        <w:spacing w:after="120"/>
        <w:jc w:val="both"/>
      </w:pPr>
      <w:r>
        <w:rPr>
          <w:rFonts w:ascii="Arial" w:cs="Arial" w:eastAsia="Arial" w:hAnsi="Arial"/>
          <w:sz w:val="24"/>
          <w:szCs w:val="24"/>
        </w:rPr>
        <w:t xml:space="preserve">Капитал и коэффициенты достаточности (адекватности) капитала</w:t>
      </w:r>
    </w:p>
    <w:p>
      <w:pPr>
        <w:spacing w:after="120"/>
        <w:jc w:val="both"/>
      </w:pPr>
      <w:r>
        <w:rPr>
          <w:rFonts w:ascii="Arial" w:cs="Arial" w:eastAsia="Arial" w:hAnsi="Arial"/>
          <w:sz w:val="24"/>
          <w:szCs w:val="24"/>
        </w:rPr>
        <w:t xml:space="preserve">(тыс.сом)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63"/>
        <w:gridCol w:w="8527"/>
        <w:gridCol w:w="888"/>
      </w:tblGrid>
      <w:tr>
        <w:tc>
          <w:tcPr>
            <w:tcW w:type="dxa" w:w="76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52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Статьи</w:t>
            </w:r>
          </w:p>
        </w:tc>
        <w:tc>
          <w:tcPr>
            <w:tcW w:type="dxa" w:w="88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w:t>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 Первого уровня (Собственный капитал)</w:t>
            </w:r>
          </w:p>
        </w:tc>
        <w:tc>
          <w:tcPr>
            <w:tcW w:type="dxa" w:w="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Базовый капитал Первого уровня</w:t>
            </w:r>
          </w:p>
        </w:tc>
        <w:tc>
          <w:tcPr>
            <w:tcW w:type="dxa" w:w="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710</w:t>
            </w:r>
          </w:p>
        </w:tc>
        <w:tc>
          <w:tcPr>
            <w:tcW w:type="dxa" w:w="8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Простые акции</w:t>
            </w:r>
          </w:p>
        </w:tc>
        <w:tc>
          <w:tcPr>
            <w:tcW w:type="dxa" w:w="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720</w:t>
            </w:r>
          </w:p>
        </w:tc>
        <w:tc>
          <w:tcPr>
            <w:tcW w:type="dxa" w:w="8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Привилегированные некумулятивные акции (приемлемые для включения в Базовый капитал Первого уровня)</w:t>
            </w:r>
          </w:p>
        </w:tc>
        <w:tc>
          <w:tcPr>
            <w:tcW w:type="dxa" w:w="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730</w:t>
            </w:r>
          </w:p>
        </w:tc>
        <w:tc>
          <w:tcPr>
            <w:tcW w:type="dxa" w:w="8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 внесенный сверх номинала</w:t>
            </w:r>
          </w:p>
        </w:tc>
        <w:tc>
          <w:tcPr>
            <w:tcW w:type="dxa" w:w="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740</w:t>
            </w:r>
          </w:p>
        </w:tc>
        <w:tc>
          <w:tcPr>
            <w:tcW w:type="dxa" w:w="8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Резервы для будущих потребностей банка</w:t>
            </w:r>
          </w:p>
        </w:tc>
        <w:tc>
          <w:tcPr>
            <w:tcW w:type="dxa" w:w="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750</w:t>
            </w:r>
          </w:p>
        </w:tc>
        <w:tc>
          <w:tcPr>
            <w:tcW w:type="dxa" w:w="8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Нераспределенная прибыль (убытки) прошлых лет</w:t>
            </w:r>
          </w:p>
        </w:tc>
        <w:tc>
          <w:tcPr>
            <w:tcW w:type="dxa" w:w="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760</w:t>
            </w:r>
          </w:p>
        </w:tc>
        <w:tc>
          <w:tcPr>
            <w:tcW w:type="dxa" w:w="8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Убытки текущего года</w:t>
            </w:r>
          </w:p>
        </w:tc>
        <w:tc>
          <w:tcPr>
            <w:tcW w:type="dxa" w:w="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770</w:t>
            </w:r>
          </w:p>
        </w:tc>
        <w:tc>
          <w:tcPr>
            <w:tcW w:type="dxa" w:w="8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Нематериальные активы (ст.430.1)</w:t>
            </w:r>
          </w:p>
        </w:tc>
        <w:tc>
          <w:tcPr>
            <w:tcW w:type="dxa" w:w="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780</w:t>
            </w:r>
          </w:p>
        </w:tc>
        <w:tc>
          <w:tcPr>
            <w:tcW w:type="dxa" w:w="8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Инвестиции (в виде акций или долевого участия в капитале) в другие неконсолидированные банки и финансово-кредитные организации, а также нефинансовые организации (ст. 200.1-230.1, ст.390, ст.400)</w:t>
            </w:r>
          </w:p>
        </w:tc>
        <w:tc>
          <w:tcPr>
            <w:tcW w:type="dxa" w:w="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790</w:t>
            </w:r>
          </w:p>
        </w:tc>
        <w:tc>
          <w:tcPr>
            <w:tcW w:type="dxa" w:w="8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Отсроченные налоговые активы</w:t>
            </w:r>
          </w:p>
        </w:tc>
        <w:tc>
          <w:tcPr>
            <w:tcW w:type="dxa" w:w="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800</w:t>
            </w:r>
          </w:p>
        </w:tc>
        <w:tc>
          <w:tcPr>
            <w:tcW w:type="dxa" w:w="8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Прямые или косвенные инвестиции в собственные акции банка</w:t>
            </w:r>
          </w:p>
        </w:tc>
        <w:tc>
          <w:tcPr>
            <w:tcW w:type="dxa" w:w="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810</w:t>
            </w:r>
          </w:p>
        </w:tc>
        <w:tc>
          <w:tcPr>
            <w:tcW w:type="dxa" w:w="8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Базовый капитал Первого уровня (сумма ст.710-800)</w:t>
            </w:r>
          </w:p>
        </w:tc>
        <w:tc>
          <w:tcPr>
            <w:tcW w:type="dxa" w:w="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Дополнительный капитал Первого уровня</w:t>
            </w:r>
          </w:p>
        </w:tc>
        <w:tc>
          <w:tcPr>
            <w:tcW w:type="dxa" w:w="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820</w:t>
            </w:r>
          </w:p>
        </w:tc>
        <w:tc>
          <w:tcPr>
            <w:tcW w:type="dxa" w:w="8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Дополнительный капитал, внесенный физическими и юридическими лицами</w:t>
            </w:r>
          </w:p>
        </w:tc>
        <w:tc>
          <w:tcPr>
            <w:tcW w:type="dxa" w:w="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830</w:t>
            </w:r>
          </w:p>
        </w:tc>
        <w:tc>
          <w:tcPr>
            <w:tcW w:type="dxa" w:w="8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Привилегированные акции, которые соответствуют критериям Дополнительного капитала Первого уровня, но неприемлемые для Базового капитала Первого уровня</w:t>
            </w:r>
          </w:p>
        </w:tc>
        <w:tc>
          <w:tcPr>
            <w:tcW w:type="dxa" w:w="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840</w:t>
            </w:r>
          </w:p>
        </w:tc>
        <w:tc>
          <w:tcPr>
            <w:tcW w:type="dxa" w:w="8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инструменты капитала: бессрочный субординированный долг (ст.630)</w:t>
            </w:r>
          </w:p>
        </w:tc>
        <w:tc>
          <w:tcPr>
            <w:tcW w:type="dxa" w:w="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850</w:t>
            </w:r>
          </w:p>
        </w:tc>
        <w:tc>
          <w:tcPr>
            <w:tcW w:type="dxa" w:w="8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Прямые или косвенные инвестиции в свой собственный Дополнительный капитал Первого уровня</w:t>
            </w:r>
          </w:p>
        </w:tc>
        <w:tc>
          <w:tcPr>
            <w:tcW w:type="dxa" w:w="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860</w:t>
            </w:r>
          </w:p>
        </w:tc>
        <w:tc>
          <w:tcPr>
            <w:tcW w:type="dxa" w:w="8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Инвестиции в Дополнительный капитал Первого уровня неконсолидированных банков и капитал финансово-кредитных организаций и нефинансовых организаций (если применимо)</w:t>
            </w:r>
          </w:p>
        </w:tc>
        <w:tc>
          <w:tcPr>
            <w:tcW w:type="dxa" w:w="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870</w:t>
            </w:r>
          </w:p>
        </w:tc>
        <w:tc>
          <w:tcPr>
            <w:tcW w:type="dxa" w:w="8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Дополнительный капитал Первого уровня (сумма ст. 820-860)</w:t>
            </w:r>
          </w:p>
        </w:tc>
        <w:tc>
          <w:tcPr>
            <w:tcW w:type="dxa" w:w="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880</w:t>
            </w:r>
          </w:p>
        </w:tc>
        <w:tc>
          <w:tcPr>
            <w:tcW w:type="dxa" w:w="8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капитал Первого уровня (сумма ст.810 и ст.870)</w:t>
            </w:r>
          </w:p>
        </w:tc>
        <w:tc>
          <w:tcPr>
            <w:tcW w:type="dxa" w:w="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 Второго уровня</w:t>
            </w:r>
          </w:p>
        </w:tc>
        <w:tc>
          <w:tcPr>
            <w:tcW w:type="dxa" w:w="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890</w:t>
            </w:r>
          </w:p>
        </w:tc>
        <w:tc>
          <w:tcPr>
            <w:tcW w:type="dxa" w:w="8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Прибыль текущего года</w:t>
            </w:r>
          </w:p>
        </w:tc>
        <w:tc>
          <w:tcPr>
            <w:tcW w:type="dxa" w:w="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900</w:t>
            </w:r>
          </w:p>
        </w:tc>
        <w:tc>
          <w:tcPr>
            <w:tcW w:type="dxa" w:w="8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Общие резервы (приемлемые для включения):
 а) "общие" резервы на покрытие потенциальных потерь и убытков;
 б) "общие" резервы на покрытие потенциальных потерь и убытков от других активов, кроме кредитов</w:t>
            </w:r>
          </w:p>
        </w:tc>
        <w:tc>
          <w:tcPr>
            <w:tcW w:type="dxa" w:w="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910</w:t>
            </w:r>
          </w:p>
        </w:tc>
        <w:tc>
          <w:tcPr>
            <w:tcW w:type="dxa" w:w="8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Резервы по переоценке ценных бумаг</w:t>
            </w:r>
          </w:p>
        </w:tc>
        <w:tc>
          <w:tcPr>
            <w:tcW w:type="dxa" w:w="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920</w:t>
            </w:r>
          </w:p>
        </w:tc>
        <w:tc>
          <w:tcPr>
            <w:tcW w:type="dxa" w:w="8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Резервы по пересчету иностранной валюты при консолидации</w:t>
            </w:r>
          </w:p>
        </w:tc>
        <w:tc>
          <w:tcPr>
            <w:tcW w:type="dxa" w:w="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920.1</w:t>
            </w:r>
          </w:p>
        </w:tc>
        <w:tc>
          <w:tcPr>
            <w:tcW w:type="dxa" w:w="8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Резерв на выравнивание прибыли</w:t>
            </w:r>
          </w:p>
        </w:tc>
        <w:tc>
          <w:tcPr>
            <w:tcW w:type="dxa" w:w="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920.2</w:t>
            </w:r>
          </w:p>
        </w:tc>
        <w:tc>
          <w:tcPr>
            <w:tcW w:type="dxa" w:w="8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Резерв на покрытие рисков по инвестициям</w:t>
            </w:r>
          </w:p>
        </w:tc>
        <w:tc>
          <w:tcPr>
            <w:tcW w:type="dxa" w:w="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930</w:t>
            </w:r>
          </w:p>
        </w:tc>
        <w:tc>
          <w:tcPr>
            <w:tcW w:type="dxa" w:w="8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Часть капитала и долговых инструментов, одобренная Национальным банком для включения в Капитал Второго уровня</w:t>
            </w:r>
          </w:p>
        </w:tc>
        <w:tc>
          <w:tcPr>
            <w:tcW w:type="dxa" w:w="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940</w:t>
            </w:r>
          </w:p>
        </w:tc>
        <w:tc>
          <w:tcPr>
            <w:tcW w:type="dxa" w:w="8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Разница между ценой продажи акций, включенных в Капитал Второго уровня (не включенных в Капитал Первого уровня) и их номинальной стоимостью по результатам эмиссии</w:t>
            </w:r>
          </w:p>
        </w:tc>
        <w:tc>
          <w:tcPr>
            <w:tcW w:type="dxa" w:w="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950</w:t>
            </w:r>
          </w:p>
        </w:tc>
        <w:tc>
          <w:tcPr>
            <w:tcW w:type="dxa" w:w="8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Прямые или косвенные инвестиции в свой собственный Капитал Второго уровня</w:t>
            </w:r>
          </w:p>
        </w:tc>
        <w:tc>
          <w:tcPr>
            <w:tcW w:type="dxa" w:w="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960</w:t>
            </w:r>
          </w:p>
        </w:tc>
        <w:tc>
          <w:tcPr>
            <w:tcW w:type="dxa" w:w="8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Инвестиции в Капитал Второго уровня неконсолидированных банков и капитал финансово-кредитных организаций и нефинансовых организаций (если применимо)</w:t>
            </w:r>
          </w:p>
        </w:tc>
        <w:tc>
          <w:tcPr>
            <w:tcW w:type="dxa" w:w="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970</w:t>
            </w:r>
          </w:p>
        </w:tc>
        <w:tc>
          <w:tcPr>
            <w:tcW w:type="dxa" w:w="8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Капитал Второго уровня (сумма ст. 890-960)</w:t>
            </w:r>
          </w:p>
        </w:tc>
        <w:tc>
          <w:tcPr>
            <w:tcW w:type="dxa" w:w="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980</w:t>
            </w:r>
          </w:p>
        </w:tc>
        <w:tc>
          <w:tcPr>
            <w:tcW w:type="dxa" w:w="8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чистый суммарный капитал (сумма ст.880 и ст.970)</w:t>
            </w:r>
          </w:p>
        </w:tc>
        <w:tc>
          <w:tcPr>
            <w:tcW w:type="dxa" w:w="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990</w:t>
            </w:r>
          </w:p>
        </w:tc>
        <w:tc>
          <w:tcPr>
            <w:tcW w:type="dxa" w:w="8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Коэффициент достаточности (адекватности) суммарного капитала (ст.980/ст.620)</w:t>
            </w:r>
          </w:p>
        </w:tc>
        <w:tc>
          <w:tcPr>
            <w:tcW w:type="dxa" w:w="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8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Коэффициент достаточности (адекватности) капитала Первого уровня (ст.880/ст.620)</w:t>
            </w:r>
          </w:p>
        </w:tc>
        <w:tc>
          <w:tcPr>
            <w:tcW w:type="dxa" w:w="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1010</w:t>
            </w:r>
          </w:p>
        </w:tc>
        <w:tc>
          <w:tcPr>
            <w:tcW w:type="dxa" w:w="8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Коэффициент достаточности (адекватности) капитала Базового капитала Первого уровня (ст.810/ст.620)</w:t>
            </w:r>
          </w:p>
        </w:tc>
        <w:tc>
          <w:tcPr>
            <w:tcW w:type="dxa" w:w="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e8yebzbdup5afa_buucy">
      <w:r>
        <w:rPr>
          <w:rFonts w:ascii="Arial" w:cs="Arial" w:eastAsia="Arial" w:hAnsi="Arial"/>
          <w:color w:val="132D3F"/>
          <w:sz w:val="16"/>
          <w:szCs w:val="16"/>
          <w:u w:val="single"/>
        </w:rPr>
        <w:t xml:space="preserve">dalil.kg/document/31370</w:t>
      </w:r>
    </w:hyperlink>
  </w:p>
  <w:p>
    <w:pPr>
      <w:spacing w:after="0" w:before="40"/>
      <w:jc w:val="center"/>
    </w:pPr>
    <w:hyperlink w:history="1" r:id="rIdgite_of8uddrsurewhfs6">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yzm94ve9oh3f6i7hnise" Type="http://schemas.openxmlformats.org/officeDocument/2006/relationships/hyperlink" Target="https://dalil.kg/document/31371" TargetMode="External"/><Relationship Id="rIdbflagb8x8pyrsnksca8mt" Type="http://schemas.openxmlformats.org/officeDocument/2006/relationships/hyperlink" Target="https://dalil.kg/document/31429" TargetMode="External"/><Relationship Id="rIdjtyj1cooxwzpbijapgtxl" Type="http://schemas.openxmlformats.org/officeDocument/2006/relationships/hyperlink" Target="https://dalil.kg/document/301179" TargetMode="External"/><Relationship Id="rId5nmhjz8foifrmhdr9n1ie" Type="http://schemas.openxmlformats.org/officeDocument/2006/relationships/hyperlink" Target="https://dalil.kg/document/301237" TargetMode="External"/><Relationship Id="rIdohd1rk4w62h_u7anlbrmf" Type="http://schemas.openxmlformats.org/officeDocument/2006/relationships/hyperlink" Target="https://dalil.kg/document/302520" TargetMode="External"/><Relationship Id="rIdg7binsa9-cw248jdwqfsu" Type="http://schemas.openxmlformats.org/officeDocument/2006/relationships/hyperlink" Target="https://dalil.kg/document/302553" TargetMode="External"/><Relationship Id="rIdwcrt6hjfjvnjbx50ppphf" Type="http://schemas.openxmlformats.org/officeDocument/2006/relationships/hyperlink" Target="https://dalil.kg/document/302560" TargetMode="External"/><Relationship Id="rIdwrh9lkre2tepdbn8xzope" Type="http://schemas.openxmlformats.org/officeDocument/2006/relationships/hyperlink" Target="https://dalil.kg/document/302998" TargetMode="External"/><Relationship Id="rIdqby7iv3xb1jlbcwm2smsd" Type="http://schemas.openxmlformats.org/officeDocument/2006/relationships/hyperlink" Target="https://dalil.kg/document/800007" TargetMode="External"/><Relationship Id="rIdpamh6jyrxr304et2m6o1q" Type="http://schemas.openxmlformats.org/officeDocument/2006/relationships/hyperlink" Target="https://dalil.kg/document/303060" TargetMode="External"/><Relationship Id="rIdztki8oyd9ursrgjbkfsqj" Type="http://schemas.openxmlformats.org/officeDocument/2006/relationships/hyperlink" Target="https://dalil.kg/document/800010" TargetMode="External"/><Relationship Id="rIdn93fhqxx31xptv8eanjgo" Type="http://schemas.openxmlformats.org/officeDocument/2006/relationships/hyperlink" Target="https://dalil.kg/document/303061" TargetMode="External"/><Relationship Id="rIdmbsbbx3ghwmthl6yzrovy" Type="http://schemas.openxmlformats.org/officeDocument/2006/relationships/hyperlink" Target="https://dalil.kg/document/800013" TargetMode="External"/><Relationship Id="rId0bg2wmpzenkldenwqkn5f" Type="http://schemas.openxmlformats.org/officeDocument/2006/relationships/hyperlink" Target="https://dalil.kg/document/800211" TargetMode="External"/><Relationship Id="rIdzvtf6vhkgylq7qpacsqu5" Type="http://schemas.openxmlformats.org/officeDocument/2006/relationships/hyperlink" Target="https://dalil.kg/document/800246" TargetMode="External"/><Relationship Id="rId_ikicnc3rxjiha5eu0asd" Type="http://schemas.openxmlformats.org/officeDocument/2006/relationships/hyperlink" Target="https://dalil.kg/document/800252" TargetMode="External"/><Relationship Id="rIdfm6dv68wcc-lvtanlgsdt" Type="http://schemas.openxmlformats.org/officeDocument/2006/relationships/hyperlink" Target="https://dalil.kg/document/800257" TargetMode="External"/><Relationship Id="rIdg2ukkxufpotosviq1uhpw" Type="http://schemas.openxmlformats.org/officeDocument/2006/relationships/hyperlink" Target="https://dalil.kg/document/800782" TargetMode="External"/><Relationship Id="rId1jjmkdnvqyqt6gbgznh81" Type="http://schemas.openxmlformats.org/officeDocument/2006/relationships/hyperlink" Target="https://dalil.kg/document/880805" TargetMode="External"/><Relationship Id="rIduq9pfesx49ttmlcrtt5ts" Type="http://schemas.openxmlformats.org/officeDocument/2006/relationships/hyperlink" Target="https://dalil.kg/document/800839" TargetMode="External"/><Relationship Id="rIdku6k7o8jizivfjgn6ob9i" Type="http://schemas.openxmlformats.org/officeDocument/2006/relationships/hyperlink" Target="https://dalil.kg/document/800455" TargetMode="External"/><Relationship Id="rIdepywphbj6nw9ayrw5hfxx" Type="http://schemas.openxmlformats.org/officeDocument/2006/relationships/hyperlink" Target="https://dalil.kg/document/800013" TargetMode="External"/><Relationship Id="rIdjmwyu43xomwcaa8nfjyb7" Type="http://schemas.openxmlformats.org/officeDocument/2006/relationships/hyperlink" Target="https://dalil.kg/document/301179" TargetMode="External"/><Relationship Id="rIdqw6mn-sjux8oyi6cuw-nn" Type="http://schemas.openxmlformats.org/officeDocument/2006/relationships/hyperlink" Target="https://dalil.kg/document/800782" TargetMode="External"/><Relationship Id="rIdkxeayhtoxtplbg4rqtby4" Type="http://schemas.openxmlformats.org/officeDocument/2006/relationships/hyperlink" Target="https://dalil.kg/document/800782" TargetMode="External"/><Relationship Id="rIdoxyhibsv7darg3onp5yzp" Type="http://schemas.openxmlformats.org/officeDocument/2006/relationships/hyperlink" Target="https://dalil.kg/document/800782" TargetMode="External"/><Relationship Id="rIdra4bu4ky2d5c7aqboqae-" Type="http://schemas.openxmlformats.org/officeDocument/2006/relationships/hyperlink" Target="https://dalil.kg/document/800211" TargetMode="External"/><Relationship Id="rIde4sjqynsvywiy9upyfrsr" Type="http://schemas.openxmlformats.org/officeDocument/2006/relationships/hyperlink" Target="https://dalil.kg/document/800211" TargetMode="External"/><Relationship Id="rIdyexa7sohs0yl18ec_ct6v" Type="http://schemas.openxmlformats.org/officeDocument/2006/relationships/hyperlink" Target="https://dalil.kg/document/800782" TargetMode="External"/><Relationship Id="rIdwr1pqplb4u8rdrnsiij9x" Type="http://schemas.openxmlformats.org/officeDocument/2006/relationships/hyperlink" Target="https://dalil.kg/document/800782" TargetMode="External"/><Relationship Id="rIdc4b6jwtzx8mrfbzbm8zcg" Type="http://schemas.openxmlformats.org/officeDocument/2006/relationships/hyperlink" Target="https://dalil.kg/document/800782" TargetMode="External"/><Relationship Id="rIdvdgeh5s76btkktxuge6dk" Type="http://schemas.openxmlformats.org/officeDocument/2006/relationships/hyperlink" Target="https://dalil.kg/document/800211" TargetMode="External"/><Relationship Id="rIddj-n7a1agbhzduzpkkez_" Type="http://schemas.openxmlformats.org/officeDocument/2006/relationships/hyperlink" Target="https://dalil.kg/document/800782" TargetMode="External"/><Relationship Id="rIdq4tb1pu7mmtu_y9u52y8e" Type="http://schemas.openxmlformats.org/officeDocument/2006/relationships/hyperlink" Target="https://dalil.kg/document/800010" TargetMode="External"/><Relationship Id="rIdstxfgt1izrirscafnn9nm" Type="http://schemas.openxmlformats.org/officeDocument/2006/relationships/hyperlink" Target="https://dalil.kg/document/800782" TargetMode="External"/><Relationship Id="rIdfahpybrrn4y1bn2wlm0v7" Type="http://schemas.openxmlformats.org/officeDocument/2006/relationships/hyperlink" Target="https://dalil.kg/document/800013" TargetMode="External"/><Relationship Id="rIdqxsjoaqnvfybocpymmnf9" Type="http://schemas.openxmlformats.org/officeDocument/2006/relationships/hyperlink" Target="https://dalil.kg/document/31429" TargetMode="External"/><Relationship Id="rIdbiigdban_vza3yldydvuf" Type="http://schemas.openxmlformats.org/officeDocument/2006/relationships/hyperlink" Target="https://dalil.kg/document/800013" TargetMode="External"/><Relationship Id="rIdydnusocpse1lj-cbat9ou" Type="http://schemas.openxmlformats.org/officeDocument/2006/relationships/hyperlink" Target="https://dalil.kg/document/800839" TargetMode="External"/><Relationship Id="rIdbxyjo_gcjv11ruprmh2ja" Type="http://schemas.openxmlformats.org/officeDocument/2006/relationships/hyperlink" Target="https://dalil.kg/document/203761" TargetMode="External"/><Relationship Id="rIdje_xu64aecrawr09uj6z2" Type="http://schemas.openxmlformats.org/officeDocument/2006/relationships/hyperlink" Target="https://dalil.kg/document/302553" TargetMode="External"/><Relationship Id="rIdanfeqeqk_ux8q60ki2mnz" Type="http://schemas.openxmlformats.org/officeDocument/2006/relationships/hyperlink" Target="https://dalil.kg/document/800839" TargetMode="External"/><Relationship Id="rIdhtg_socdmeds3qmpaxxia" Type="http://schemas.openxmlformats.org/officeDocument/2006/relationships/hyperlink" Target="https://dalil.kg/document/800211" TargetMode="External"/><Relationship Id="rIdzuth5i4ggyrb4tokx9wll" Type="http://schemas.openxmlformats.org/officeDocument/2006/relationships/hyperlink" Target="https://dalil.kg/document/800010" TargetMode="External"/><Relationship Id="rIdqodysdcqbzbjvje6jzogm" Type="http://schemas.openxmlformats.org/officeDocument/2006/relationships/hyperlink" Target="https://dalil.kg/document/800211" TargetMode="External"/><Relationship Id="rIdaybx_gvbozv4wyv7_ufra" Type="http://schemas.openxmlformats.org/officeDocument/2006/relationships/hyperlink" Target="https://dalil.kg/document/800257" TargetMode="External"/><Relationship Id="rIdqpzqvyfqz87osug2iwpre" Type="http://schemas.openxmlformats.org/officeDocument/2006/relationships/hyperlink" Target="https://dalil.kg/document/800782" TargetMode="External"/><Relationship Id="rId3djrzrzmmey0gdtqpcee5" Type="http://schemas.openxmlformats.org/officeDocument/2006/relationships/hyperlink" Target="https://dalil.kg/document/880805" TargetMode="External"/><Relationship Id="rIdacdmo-olgwppnvc0joeqq" Type="http://schemas.openxmlformats.org/officeDocument/2006/relationships/hyperlink" Target="https://dalil.kg/document/800455" TargetMode="External"/><Relationship Id="rId8" Type="http://schemas.openxmlformats.org/officeDocument/2006/relationships/image" Target="media/8de64316e95979c063c17bcd5380dc052a2594e9.png"/><Relationship Id="rId5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e8yebzbdup5afa_buucy" Type="http://schemas.openxmlformats.org/officeDocument/2006/relationships/hyperlink" Target="https://dalil.kg/document/31370" TargetMode="External"/><Relationship Id="rIdgite_of8uddrsurewhfs6"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2026-09-23T17:25:28.467Z</dcterms:created>
  <dcterms:modified xsi:type="dcterms:W3CDTF">2026-09-23T17:25:28.467Z</dcterms:modified>
</cp:coreProperties>
</file>

<file path=docProps/custom.xml><?xml version="1.0" encoding="utf-8"?>
<Properties xmlns="http://schemas.openxmlformats.org/officeDocument/2006/custom-properties" xmlns:vt="http://schemas.openxmlformats.org/officeDocument/2006/docPropsVTypes"/>
</file>