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b3viaus-w6wj3oquox7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сентября 2004 года. Регистрационный номер 105-04                                                    Утверждена                                       </w:t>
      </w:r>
      <w:hyperlink w:history="1" r:id="rIdp8-ll8xe8gfa-ghay-6l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Кыргызской Республики                                          от 27 августа 2004 года № 123                               ИНСТРУКЦИЯ            о порядке присвоения почтовых номеров единицам                     недвижимости в городе Бишкек      1. Общие положения     2. Порядок проведения работ по присвоению почтовых номеров        единицам недвижимости                           1. Общие положения      1.1. Настоящая Инструкция определяет порядок  присвоения  почтовыхномеров единицам недвижимости независимо от формы собственности.     1.2. Выполнение работ по присвоению почтового номера объекту  нед-вижимости  производит отдел картографии Бишкекского городского управле-ния по землеустройству и регистрации прав на недвижимое имущество.     1.3. Выполнение работ по установке, замене, обследованию состоянияи наличия на зданиях аншлагов,  номеров  домов,  квартир  и  указателейподъездов осуществляют районные комбинаты благоустройства.     1.4. Поддержание в порядке аншлагов,  номеров зданий, домов, квар-тир,  указателей подъездов осуществляют владельцы зданий и собственникиквартир, домов.     1.5. Присвоение почтового номера на вновь построенные объекты нед-вижимости производится после завершения работ по технической  паспорти-зации объекта недвижимости.       2. Порядок проведения работ по присвоению почтовых номеров                         единицам недвижимости      2.1. Специалист отдела картографии с выездом на местность  опреде-ляет местоположение объекта недвижимости в секторе, квартале, участке.     2.2. После определения местоположения объекта недвижимости и  про-изведения  сверки по регистрационной индексированной карте производитсянумерация объекта недвижимости.     2.3. Нумерация производится в следующем порядке:     - для улиц,  имеющих направление с юга на север - увеличение номе-ров на север;     - для улиц,  имеющих направление с востока на запад  -  увеличениеномеров на запад.     При этом четные номера присваиваются единицам недвижимости, распо-ложенным на западной стороне улиц,  имеющих направление с юга на север,и на южной стороне для улиц, расположенных с востока на запад.     Нечетные номера  присваиваются соответственно единицам недвижимос-ти, расположенным на восточной и на северной стороне улиц.     Здания, находящиеся на перекрестках бульваров,  проспектов,  улиц,переулков (угловые),  должны иметь два номерных знака,  один из которыхдолжен быть установлен на главном фасаде здания, а другой - на его тор-цевой стороне.     2.4. При присвоении номера вновь выстроенным объектам недвижимостипочтовый номер присваивается с привязкой к существующим  рядом  номерамобъектов недвижимости.     К уже присвоенному рядом объекту недвижимости почтовому номеру до-бавляются  буквенные или цифровые - дробные номера (например - 125а или125/1).     2.5. Присвоение  номера  оформляется актом и приказом местного ре-гистрационного органа,  после чего вносится  запись  в  регистрационнуюкарточку,  технический паспорт (если имеется), регистрационную индекси-рованную карту, в электронную базу данных о единицах недвижимости.     2.6. Акт подписывается исполнителем,  собственником, пользователемили председателем квартального комитета,  начальником отдела  картогра-фии,  начальником  отдела информации,  начальником отдела обследования,начальником отдела информационных технологий,  после чего  утверждаетсяначальником Управления регистрационного органа.     2.7. Акт и копия приказа помещается в  архивное  (регистрационное)дело объекта недвижимости.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wbijox4y_3gygazm6o9">
      <w:r>
        <w:rPr>
          <w:rFonts w:ascii="Arial" w:cs="Arial" w:eastAsia="Arial" w:hAnsi="Arial"/>
          <w:color w:val="132D3F"/>
          <w:sz w:val="16"/>
          <w:szCs w:val="16"/>
          <w:u w:val="single"/>
        </w:rPr>
        <w:t xml:space="preserve">dalil.kg/document/31387</w:t>
      </w:r>
    </w:hyperlink>
  </w:p>
  <w:p>
    <w:pPr>
      <w:spacing w:after="0" w:before="40"/>
      <w:jc w:val="center"/>
    </w:pPr>
    <w:hyperlink w:history="1" r:id="rIdxto6gxos7d8n9verryv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3viaus-w6wj3oquox7k" Type="http://schemas.openxmlformats.org/officeDocument/2006/relationships/hyperlink" Target="https://dalil.kg/document/202591" TargetMode="External"/><Relationship Id="rIdp8-ll8xe8gfa-ghay-6lh" Type="http://schemas.openxmlformats.org/officeDocument/2006/relationships/hyperlink" Target="https://dalil.kg/document/313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wbijox4y_3gygazm6o9" Type="http://schemas.openxmlformats.org/officeDocument/2006/relationships/hyperlink" Target="https://dalil.kg/document/31387" TargetMode="External"/><Relationship Id="rIdxto6gxos7d8n9verryv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2026-10-01T15:05:45.076Z</dcterms:created>
  <dcterms:modified xsi:type="dcterms:W3CDTF">2026-10-01T15:05:45.076Z</dcterms:modified>
</cp:coreProperties>
</file>

<file path=docProps/custom.xml><?xml version="1.0" encoding="utf-8"?>
<Properties xmlns="http://schemas.openxmlformats.org/officeDocument/2006/custom-properties" xmlns:vt="http://schemas.openxmlformats.org/officeDocument/2006/docPropsVTypes"/>
</file>